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567"/>
        <w:gridCol w:w="6946"/>
      </w:tblGrid>
      <w:tr w:rsidR="00A140C6" w:rsidRPr="004C468F" w14:paraId="0835E25D" w14:textId="77777777" w:rsidTr="003F44B5">
        <w:trPr>
          <w:trHeight w:hRule="exact" w:val="567"/>
        </w:trPr>
        <w:tc>
          <w:tcPr>
            <w:tcW w:w="2410" w:type="dxa"/>
          </w:tcPr>
          <w:p w14:paraId="15CE90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567" w:type="dxa"/>
          </w:tcPr>
          <w:p w14:paraId="30920DE0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946" w:type="dxa"/>
          </w:tcPr>
          <w:p w14:paraId="6E2B24F6" w14:textId="17595869" w:rsidR="0044592F" w:rsidRPr="004C468F" w:rsidRDefault="0044592F">
            <w:pPr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</w:pPr>
            <w:r w:rsidRPr="004C468F">
              <w:rPr>
                <w:rFonts w:ascii="Trebuchet MS" w:hAnsi="Trebuchet MS" w:cstheme="minorHAnsi"/>
                <w:b/>
                <w:bCs/>
                <w:spacing w:val="8"/>
                <w:lang w:val="hr-HR"/>
              </w:rPr>
              <w:t>ADDIKO PRESS RELEASE</w:t>
            </w:r>
          </w:p>
        </w:tc>
      </w:tr>
      <w:tr w:rsidR="00A140C6" w:rsidRPr="004C468F" w14:paraId="72457CFC" w14:textId="77777777" w:rsidTr="003F44B5">
        <w:trPr>
          <w:trHeight w:val="80"/>
        </w:trPr>
        <w:tc>
          <w:tcPr>
            <w:tcW w:w="2410" w:type="dxa"/>
          </w:tcPr>
          <w:p w14:paraId="13C399F3" w14:textId="77777777" w:rsidR="00BA35F5" w:rsidRPr="004C468F" w:rsidRDefault="00BA35F5">
            <w:pPr>
              <w:rPr>
                <w:rFonts w:ascii="Trebuchet MS" w:hAnsi="Trebuchet MS" w:cstheme="minorHAnsi"/>
                <w:sz w:val="10"/>
                <w:szCs w:val="10"/>
                <w:lang w:val="hr-HR"/>
              </w:rPr>
            </w:pPr>
          </w:p>
          <w:p w14:paraId="564426C8" w14:textId="200B0881" w:rsidR="0044592F" w:rsidRPr="004C468F" w:rsidRDefault="00132BB8">
            <w:pPr>
              <w:rPr>
                <w:rFonts w:ascii="Trebuchet MS" w:hAnsi="Trebuchet MS" w:cstheme="minorHAnsi"/>
                <w:lang w:val="hr-HR"/>
              </w:rPr>
            </w:pP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4DFE7B5" wp14:editId="160EE2BC">
                  <wp:extent cx="223520" cy="228600"/>
                  <wp:effectExtent l="0" t="0" r="5080" b="0"/>
                  <wp:docPr id="3" name="Picture 3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394D1D60" wp14:editId="541CFE0B">
                  <wp:extent cx="223520" cy="228600"/>
                  <wp:effectExtent l="0" t="0" r="5080" b="0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C468F">
              <w:rPr>
                <w:rFonts w:ascii="Trebuchet MS" w:hAnsi="Trebuchet MS" w:cstheme="minorHAnsi"/>
                <w:lang w:val="hr-HR"/>
              </w:rPr>
              <w:t xml:space="preserve">   </w:t>
            </w:r>
            <w:r w:rsidRPr="004C468F">
              <w:rPr>
                <w:rFonts w:ascii="Trebuchet MS" w:hAnsi="Trebuchet MS" w:cstheme="minorHAnsi"/>
                <w:noProof/>
                <w:lang w:val="hr-HR"/>
              </w:rPr>
              <w:drawing>
                <wp:inline distT="0" distB="0" distL="0" distR="0" wp14:anchorId="098226BD" wp14:editId="774ACB3A">
                  <wp:extent cx="223520" cy="228600"/>
                  <wp:effectExtent l="0" t="0" r="5080" b="0"/>
                  <wp:docPr id="5" name="Picture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2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697747" w14:textId="7777777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4EA83C38" w14:textId="119FE497" w:rsidR="0044592F" w:rsidRPr="004C468F" w:rsidRDefault="0044592F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3E112D34" w14:textId="77777777" w:rsidR="00E23628" w:rsidRPr="004C468F" w:rsidRDefault="00E23628">
            <w:pPr>
              <w:rPr>
                <w:rFonts w:ascii="Trebuchet MS" w:hAnsi="Trebuchet MS" w:cstheme="minorHAnsi"/>
                <w:sz w:val="16"/>
                <w:szCs w:val="16"/>
                <w:lang w:val="hr-HR"/>
              </w:rPr>
            </w:pPr>
          </w:p>
          <w:p w14:paraId="68ED54EE" w14:textId="7BBBE3A2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Datum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  <w:r w:rsidR="00E056F9">
              <w:rPr>
                <w:rFonts w:ascii="Trebuchet MS" w:hAnsi="Trebuchet MS" w:cstheme="minorHAnsi"/>
                <w:szCs w:val="20"/>
                <w:lang w:val="hr-HR"/>
              </w:rPr>
              <w:t>2</w:t>
            </w:r>
            <w:r w:rsidR="00CF7105">
              <w:rPr>
                <w:rFonts w:ascii="Trebuchet MS" w:hAnsi="Trebuchet MS" w:cstheme="minorHAnsi"/>
                <w:szCs w:val="20"/>
                <w:lang w:val="hr-HR"/>
              </w:rPr>
              <w:t>0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</w:t>
            </w:r>
            <w:r w:rsidR="00CF7105">
              <w:rPr>
                <w:rFonts w:ascii="Trebuchet MS" w:hAnsi="Trebuchet MS" w:cstheme="minorHAnsi"/>
                <w:szCs w:val="20"/>
                <w:lang w:val="hr-HR"/>
              </w:rPr>
              <w:t>5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>/202</w:t>
            </w:r>
            <w:r w:rsidR="00BC285F">
              <w:rPr>
                <w:rFonts w:ascii="Trebuchet MS" w:hAnsi="Trebuchet MS" w:cstheme="minorHAnsi"/>
                <w:szCs w:val="20"/>
                <w:lang w:val="hr-HR"/>
              </w:rPr>
              <w:t>4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 </w:t>
            </w:r>
          </w:p>
          <w:p w14:paraId="73E0176F" w14:textId="53A3718C" w:rsidR="0044592F" w:rsidRPr="004C468F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Kontakt</w:t>
            </w:r>
            <w:r w:rsidR="0044592F" w:rsidRPr="004C468F">
              <w:rPr>
                <w:rFonts w:ascii="Trebuchet MS" w:hAnsi="Trebuchet MS" w:cstheme="minorHAnsi"/>
                <w:szCs w:val="20"/>
                <w:lang w:val="hr-HR"/>
              </w:rPr>
              <w:t xml:space="preserve">: </w:t>
            </w:r>
          </w:p>
          <w:p w14:paraId="6C2308D7" w14:textId="77777777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Katarina Kantolić,</w:t>
            </w:r>
          </w:p>
          <w:p w14:paraId="1C316243" w14:textId="32546E95" w:rsidR="00ED61A6" w:rsidRDefault="00ED61A6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 w:rsidRPr="00ED61A6">
              <w:rPr>
                <w:rFonts w:ascii="Trebuchet MS" w:hAnsi="Trebuchet MS" w:cstheme="minorHAnsi"/>
                <w:szCs w:val="20"/>
                <w:lang w:val="hr-HR"/>
              </w:rPr>
              <w:t>menadžer Korporativnih komunikacija</w:t>
            </w:r>
          </w:p>
          <w:p w14:paraId="76EFE985" w14:textId="4A939E6C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r>
              <w:rPr>
                <w:rFonts w:ascii="Trebuchet MS" w:hAnsi="Trebuchet MS" w:cstheme="minorHAnsi"/>
                <w:szCs w:val="20"/>
                <w:lang w:val="hr-HR"/>
              </w:rPr>
              <w:t>091 4978 027</w:t>
            </w:r>
          </w:p>
          <w:p w14:paraId="6CDE783E" w14:textId="098F45E7" w:rsidR="0044592F" w:rsidRPr="004C468F" w:rsidRDefault="004535A4" w:rsidP="00400139">
            <w:pPr>
              <w:spacing w:line="280" w:lineRule="exact"/>
              <w:rPr>
                <w:rFonts w:ascii="Trebuchet MS" w:hAnsi="Trebuchet MS" w:cstheme="minorHAnsi"/>
                <w:szCs w:val="20"/>
                <w:lang w:val="hr-HR"/>
              </w:rPr>
            </w:pPr>
            <w:proofErr w:type="spellStart"/>
            <w:r>
              <w:rPr>
                <w:rFonts w:ascii="Trebuchet MS" w:hAnsi="Trebuchet MS" w:cstheme="minorHAnsi"/>
                <w:szCs w:val="20"/>
                <w:lang w:val="hr-HR"/>
              </w:rPr>
              <w:t>katarina.kantolic</w:t>
            </w:r>
            <w:proofErr w:type="spellEnd"/>
            <w:r>
              <w:rPr>
                <w:rFonts w:ascii="Trebuchet MS" w:hAnsi="Trebuchet MS" w:cstheme="minorHAnsi"/>
                <w:szCs w:val="20"/>
                <w:lang w:val="hr-HR"/>
              </w:rPr>
              <w:t>@</w:t>
            </w:r>
            <w:r w:rsidR="00ED61A6">
              <w:rPr>
                <w:rFonts w:ascii="Trebuchet MS" w:hAnsi="Trebuchet MS" w:cstheme="minorHAnsi"/>
                <w:szCs w:val="20"/>
                <w:lang w:val="hr-HR"/>
              </w:rPr>
              <w:br/>
            </w:r>
            <w:r>
              <w:rPr>
                <w:rFonts w:ascii="Trebuchet MS" w:hAnsi="Trebuchet MS" w:cstheme="minorHAnsi"/>
                <w:szCs w:val="20"/>
                <w:lang w:val="hr-HR"/>
              </w:rPr>
              <w:t>addiko.com</w:t>
            </w:r>
          </w:p>
          <w:p w14:paraId="6C8FB70F" w14:textId="606EAFB6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1157BD4D" w14:textId="6E05E0D4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728F0525" w14:textId="77777777" w:rsidR="00E23628" w:rsidRPr="004C468F" w:rsidRDefault="00E23628" w:rsidP="0044592F">
            <w:pPr>
              <w:rPr>
                <w:rFonts w:ascii="Trebuchet MS" w:hAnsi="Trebuchet MS" w:cstheme="minorHAnsi"/>
                <w:sz w:val="14"/>
                <w:szCs w:val="14"/>
                <w:lang w:val="hr-HR"/>
              </w:rPr>
            </w:pPr>
          </w:p>
          <w:p w14:paraId="3F65C10F" w14:textId="1EA6F9AF" w:rsidR="0044592F" w:rsidRPr="00292012" w:rsidRDefault="00BD437A" w:rsidP="0044592F">
            <w:pPr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</w:pP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O</w:t>
            </w:r>
            <w:r w:rsidR="0044592F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Addiko</w:t>
            </w:r>
            <w:r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 xml:space="preserve"> </w:t>
            </w:r>
            <w:r w:rsidR="00486FAB" w:rsidRPr="00292012">
              <w:rPr>
                <w:rFonts w:ascii="Trebuchet MS" w:hAnsi="Trebuchet MS" w:cstheme="minorHAnsi"/>
                <w:b/>
                <w:bCs/>
                <w:color w:val="EA415E"/>
                <w:sz w:val="16"/>
                <w:szCs w:val="16"/>
                <w:lang w:val="hr-HR"/>
              </w:rPr>
              <w:t>Bank d.d.</w:t>
            </w:r>
          </w:p>
          <w:p w14:paraId="10A0DA62" w14:textId="05E6A21E" w:rsidR="00BA35F5" w:rsidRPr="004C468F" w:rsidRDefault="00BA35F5" w:rsidP="0044592F">
            <w:pP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55577748" w14:textId="35D74FEF" w:rsidR="00091395" w:rsidRDefault="00BD437A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je specijalistička banka za građane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</w:t>
            </w:r>
            <w:r w:rsidRPr="00BD437A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mala i srednja poduzeća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, fokusirana na brzo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i jednostavno </w:t>
            </w:r>
            <w:r w:rsid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kreditiranje i moderne usluge plaćanja. </w:t>
            </w:r>
          </w:p>
          <w:p w14:paraId="56C6FD2A" w14:textId="77777777" w:rsidR="00091395" w:rsidRDefault="00091395" w:rsidP="00486FAB">
            <w:pPr>
              <w:spacing w:line="200" w:lineRule="exact"/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</w:pPr>
          </w:p>
          <w:p w14:paraId="3D4DEF38" w14:textId="20224F47" w:rsidR="00091395" w:rsidRDefault="00486FAB" w:rsidP="00486FAB">
            <w:pPr>
              <w:spacing w:line="200" w:lineRule="exact"/>
            </w:pP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091395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 d.d. 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je u vlasništvu Addiko Bank AG i dio je međunarodne bankarske grupacije prisutne u pet zemalja. Addiko Bank AG izlistana je na Bečkoj burzi od 2019. godine.</w:t>
            </w:r>
            <w:r>
              <w:t xml:space="preserve"> </w:t>
            </w:r>
          </w:p>
          <w:p w14:paraId="16C55CB0" w14:textId="77777777" w:rsidR="00091395" w:rsidRDefault="00091395" w:rsidP="00486FAB">
            <w:pPr>
              <w:spacing w:line="200" w:lineRule="exact"/>
            </w:pPr>
          </w:p>
          <w:p w14:paraId="1639B9F8" w14:textId="4015E54F" w:rsidR="0044592F" w:rsidRPr="004C468F" w:rsidRDefault="00486FAB" w:rsidP="00ED61A6">
            <w:pPr>
              <w:spacing w:line="200" w:lineRule="exact"/>
              <w:rPr>
                <w:rFonts w:ascii="Trebuchet MS" w:hAnsi="Trebuchet MS" w:cstheme="minorHAnsi"/>
                <w:lang w:val="hr-HR"/>
              </w:rPr>
            </w:pP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Addiko </w:t>
            </w:r>
            <w:r w:rsidR="00BC285F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banka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teži pozicioniranju kao banka koja razvija inovativna, digitalna bankarska rješenja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. Spremna je p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odijeliti svoja znanja sa zajednicom te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podržati projekte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kojima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se poboljšava 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digitaln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financijsk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>a</w:t>
            </w:r>
            <w:r w:rsidRPr="00486FAB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pismenost, posebno među mladima koji se tek spremaju za upravljanje osobnim financijama</w:t>
            </w:r>
            <w:r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 i </w:t>
            </w:r>
            <w:r w:rsidR="00ED61A6">
              <w:rPr>
                <w:rFonts w:ascii="Trebuchet MS" w:hAnsi="Trebuchet MS" w:cstheme="minorHAnsi"/>
                <w:color w:val="EA415E"/>
                <w:sz w:val="16"/>
                <w:szCs w:val="16"/>
                <w:lang w:val="hr-HR"/>
              </w:rPr>
              <w:t xml:space="preserve">kreću u poduzetništvo. </w:t>
            </w:r>
          </w:p>
        </w:tc>
        <w:tc>
          <w:tcPr>
            <w:tcW w:w="567" w:type="dxa"/>
          </w:tcPr>
          <w:p w14:paraId="3FA00AB4" w14:textId="77777777" w:rsidR="0044592F" w:rsidRPr="004C468F" w:rsidRDefault="0044592F">
            <w:pPr>
              <w:rPr>
                <w:rFonts w:ascii="Trebuchet MS" w:hAnsi="Trebuchet MS" w:cstheme="minorHAnsi"/>
                <w:lang w:val="hr-HR"/>
              </w:rPr>
            </w:pPr>
          </w:p>
        </w:tc>
        <w:tc>
          <w:tcPr>
            <w:tcW w:w="6946" w:type="dxa"/>
          </w:tcPr>
          <w:p w14:paraId="4F767396" w14:textId="05E1C008" w:rsidR="001C0AB7" w:rsidRDefault="0011579F" w:rsidP="001C0AB7">
            <w:pPr>
              <w:spacing w:line="288" w:lineRule="auto"/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</w:pPr>
            <w:r w:rsidRPr="0011579F">
              <w:rPr>
                <w:rFonts w:ascii="Trebuchet MS" w:hAnsi="Trebuchet MS" w:cstheme="minorHAnsi"/>
                <w:b/>
                <w:bCs/>
                <w:color w:val="EA415E"/>
                <w:sz w:val="48"/>
                <w:szCs w:val="48"/>
                <w:lang w:val="hr-HR"/>
              </w:rPr>
              <w:t>Addiko banka i Mastercard predstavljaju nove funkcije za još bolju kontrolu kartičnih transakcija</w:t>
            </w:r>
          </w:p>
          <w:p w14:paraId="062F6797" w14:textId="77777777" w:rsidR="0011579F" w:rsidRPr="001C0AB7" w:rsidRDefault="0011579F" w:rsidP="001C0AB7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2CC1B41C" w14:textId="11C42524" w:rsidR="00E056F9" w:rsidRPr="00E056F9" w:rsidRDefault="00E056F9" w:rsidP="001C0AB7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E056F9">
              <w:rPr>
                <w:rFonts w:ascii="Trebuchet MS" w:hAnsi="Trebuchet MS" w:cs="Arial"/>
                <w:bCs/>
                <w:lang w:val="hr-HR"/>
              </w:rPr>
              <w:t xml:space="preserve">Addiko banka i Mastercard </w:t>
            </w:r>
            <w:r w:rsidR="00BC38D3">
              <w:rPr>
                <w:rFonts w:ascii="Trebuchet MS" w:hAnsi="Trebuchet MS" w:cs="Arial"/>
                <w:bCs/>
                <w:lang w:val="hr-HR"/>
              </w:rPr>
              <w:t xml:space="preserve">dogovorili su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strateško partnerstvo s ciljem </w:t>
            </w:r>
            <w:r w:rsidR="003F44B5">
              <w:rPr>
                <w:rFonts w:ascii="Trebuchet MS" w:hAnsi="Trebuchet MS" w:cs="Arial"/>
                <w:bCs/>
                <w:lang w:val="hr-HR"/>
              </w:rPr>
              <w:t xml:space="preserve">poboljšanja </w:t>
            </w:r>
            <w:r w:rsidR="00E26EB0">
              <w:rPr>
                <w:rFonts w:ascii="Trebuchet MS" w:hAnsi="Trebuchet MS" w:cs="Arial"/>
                <w:bCs/>
                <w:lang w:val="hr-HR"/>
              </w:rPr>
              <w:t xml:space="preserve">digitalnog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korisničko</w:t>
            </w:r>
            <w:r w:rsidR="003F44B5">
              <w:rPr>
                <w:rFonts w:ascii="Trebuchet MS" w:hAnsi="Trebuchet MS" w:cs="Arial"/>
                <w:bCs/>
                <w:lang w:val="hr-HR"/>
              </w:rPr>
              <w:t>g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iskustv</w:t>
            </w:r>
            <w:r w:rsidR="003F44B5">
              <w:rPr>
                <w:rFonts w:ascii="Trebuchet MS" w:hAnsi="Trebuchet MS" w:cs="Arial"/>
                <w:bCs/>
                <w:lang w:val="hr-HR"/>
              </w:rPr>
              <w:t>a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za korisnike kartica. Kao odgovor na zahtjeve za većom transparentnošću transakcija, </w:t>
            </w:r>
            <w:proofErr w:type="spellStart"/>
            <w:r w:rsidRPr="00E056F9">
              <w:rPr>
                <w:rFonts w:ascii="Trebuchet MS" w:hAnsi="Trebuchet MS" w:cs="Arial"/>
                <w:bCs/>
                <w:lang w:val="hr-HR"/>
              </w:rPr>
              <w:t>Ethoca</w:t>
            </w:r>
            <w:proofErr w:type="spellEnd"/>
            <w:r w:rsidR="00BC38D3">
              <w:rPr>
                <w:rFonts w:ascii="Trebuchet MS" w:hAnsi="Trebuchet MS" w:cs="Arial"/>
                <w:bCs/>
                <w:lang w:val="hr-HR"/>
              </w:rPr>
              <w:t xml:space="preserve">, </w:t>
            </w:r>
            <w:proofErr w:type="spellStart"/>
            <w:r w:rsidR="00BC38D3">
              <w:rPr>
                <w:rFonts w:ascii="Trebuchet MS" w:hAnsi="Trebuchet MS" w:cs="Arial"/>
                <w:bCs/>
                <w:lang w:val="hr-HR"/>
              </w:rPr>
              <w:t>Mastercardovo</w:t>
            </w:r>
            <w:proofErr w:type="spellEnd"/>
            <w:r w:rsidR="00BC38D3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inovativno rješenje</w:t>
            </w:r>
            <w:r w:rsidR="00BC38D3">
              <w:rPr>
                <w:rFonts w:ascii="Trebuchet MS" w:hAnsi="Trebuchet MS" w:cs="Arial"/>
                <w:bCs/>
                <w:lang w:val="hr-HR"/>
              </w:rPr>
              <w:t>, o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mogućit će klijentima Addiko banke detaljniji pregled njihovih kupovina</w:t>
            </w:r>
            <w:r w:rsidR="003F44B5">
              <w:rPr>
                <w:rFonts w:ascii="Trebuchet MS" w:hAnsi="Trebuchet MS" w:cs="Arial"/>
                <w:bCs/>
                <w:lang w:val="hr-HR"/>
              </w:rPr>
              <w:t xml:space="preserve"> i </w:t>
            </w:r>
            <w:r w:rsidR="003A6738">
              <w:rPr>
                <w:rFonts w:ascii="Trebuchet MS" w:hAnsi="Trebuchet MS" w:cs="Arial"/>
                <w:bCs/>
                <w:lang w:val="hr-HR"/>
              </w:rPr>
              <w:t>ostalih</w:t>
            </w:r>
            <w:r w:rsidR="003F44B5">
              <w:rPr>
                <w:rFonts w:ascii="Trebuchet MS" w:hAnsi="Trebuchet MS" w:cs="Arial"/>
                <w:bCs/>
                <w:lang w:val="hr-HR"/>
              </w:rPr>
              <w:t xml:space="preserve"> transakcija.</w:t>
            </w:r>
          </w:p>
          <w:p w14:paraId="1E2751F8" w14:textId="77777777" w:rsidR="00E056F9" w:rsidRPr="00E056F9" w:rsidRDefault="00E056F9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64AF292" w14:textId="3BB2C77B" w:rsidR="002C1538" w:rsidRDefault="002C1538" w:rsidP="002C153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E056F9">
              <w:rPr>
                <w:rFonts w:ascii="Trebuchet MS" w:hAnsi="Trebuchet MS" w:cs="Arial"/>
                <w:bCs/>
                <w:lang w:val="hr-HR"/>
              </w:rPr>
              <w:t xml:space="preserve">Uvođenjem ove nove kartične usluge u mobilnu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i internetsku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aplikaciju, Addiko banka </w:t>
            </w:r>
            <w:r w:rsidR="00CF7105">
              <w:rPr>
                <w:rFonts w:ascii="Trebuchet MS" w:hAnsi="Trebuchet MS" w:cs="Arial"/>
                <w:bCs/>
                <w:lang w:val="hr-HR"/>
              </w:rPr>
              <w:t>pruža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>
              <w:rPr>
                <w:rFonts w:ascii="Trebuchet MS" w:hAnsi="Trebuchet MS" w:cs="Arial"/>
                <w:bCs/>
                <w:lang w:val="hr-HR"/>
              </w:rPr>
              <w:t>korisnicima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Mastercard kartica više informacija o transakcijama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: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naziv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trgovca,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logotip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ili grafički prikaz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trgovca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te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lokaciju kupovine.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Detaljniji p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odaci koje </w:t>
            </w:r>
            <w:r w:rsidR="00CF7105">
              <w:rPr>
                <w:rFonts w:ascii="Trebuchet MS" w:hAnsi="Trebuchet MS" w:cs="Arial"/>
                <w:bCs/>
                <w:lang w:val="hr-HR"/>
              </w:rPr>
              <w:t xml:space="preserve">imaju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na raspolaganju pomoći će im da brzo i pouzdano utvrde koje su kupovine legitimne. </w:t>
            </w:r>
          </w:p>
          <w:p w14:paraId="2F383C73" w14:textId="77777777" w:rsidR="002C1538" w:rsidRPr="00E056F9" w:rsidRDefault="002C1538" w:rsidP="002C153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B0BD13A" w14:textId="77777777" w:rsidR="002C1538" w:rsidRDefault="002C1538" w:rsidP="002C153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E056F9">
              <w:rPr>
                <w:rFonts w:ascii="Trebuchet MS" w:hAnsi="Trebuchet MS" w:cs="Arial"/>
                <w:bCs/>
                <w:lang w:val="hr-HR"/>
              </w:rPr>
              <w:t xml:space="preserve">Nedavno </w:t>
            </w:r>
            <w:proofErr w:type="spellStart"/>
            <w:r w:rsidRPr="00E056F9">
              <w:rPr>
                <w:rFonts w:ascii="Trebuchet MS" w:hAnsi="Trebuchet MS" w:cs="Arial"/>
                <w:bCs/>
                <w:lang w:val="hr-HR"/>
              </w:rPr>
              <w:t>Mastercardovo</w:t>
            </w:r>
            <w:proofErr w:type="spellEnd"/>
            <w:r w:rsidRPr="00E056F9">
              <w:rPr>
                <w:rFonts w:ascii="Trebuchet MS" w:hAnsi="Trebuchet MS" w:cs="Arial"/>
                <w:bCs/>
                <w:lang w:val="hr-HR"/>
              </w:rPr>
              <w:t xml:space="preserve"> istraživanje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bookmarkStart w:id="0" w:name="_ftnref1"/>
            <w:r w:rsidRPr="00F61364">
              <w:rPr>
                <w:rFonts w:ascii="Trebuchet MS" w:hAnsi="Trebuchet MS" w:cs="Arial"/>
                <w:bCs/>
                <w:lang w:val="hr-HR"/>
              </w:rPr>
              <w:fldChar w:fldCharType="begin"/>
            </w:r>
            <w:r w:rsidRPr="00F61364">
              <w:rPr>
                <w:rFonts w:ascii="Trebuchet MS" w:hAnsi="Trebuchet MS" w:cs="Arial"/>
                <w:bCs/>
                <w:lang w:val="hr-HR"/>
              </w:rPr>
              <w:instrText>HYPERLINK "https://www.mastercard.com/news" \l "_ftn1"</w:instrText>
            </w:r>
            <w:r w:rsidRPr="00F61364">
              <w:rPr>
                <w:rFonts w:ascii="Trebuchet MS" w:hAnsi="Trebuchet MS" w:cs="Arial"/>
                <w:bCs/>
                <w:lang w:val="hr-HR"/>
              </w:rPr>
            </w:r>
            <w:r w:rsidRPr="00F61364">
              <w:rPr>
                <w:rFonts w:ascii="Trebuchet MS" w:hAnsi="Trebuchet MS" w:cs="Arial"/>
                <w:bCs/>
                <w:lang w:val="hr-HR"/>
              </w:rPr>
              <w:fldChar w:fldCharType="separate"/>
            </w:r>
            <w:r w:rsidRPr="00F61364">
              <w:rPr>
                <w:rFonts w:ascii="Trebuchet MS" w:hAnsi="Trebuchet MS" w:cs="Arial"/>
                <w:bCs/>
                <w:lang w:val="hr-HR"/>
              </w:rPr>
              <w:t>[1]</w:t>
            </w:r>
            <w:r w:rsidRPr="00F61364">
              <w:rPr>
                <w:rFonts w:ascii="Trebuchet MS" w:hAnsi="Trebuchet MS" w:cs="Arial"/>
                <w:bCs/>
                <w:lang w:val="hr-HR"/>
              </w:rPr>
              <w:fldChar w:fldCharType="end"/>
            </w:r>
            <w:bookmarkEnd w:id="0"/>
            <w:r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je pokazalo da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čak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77 posto korisnika ima poteškoća kod identificiranja svojih transakcija u digitalnom bankarstvu, što često izaziva zabrinutost, zbunjenost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 i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osjećaj bespomoćnosti. Cilj suradnje između  Addiko banke i Mastercarda je upravo ublažavanje tih nesigurnosti. </w:t>
            </w:r>
          </w:p>
          <w:p w14:paraId="6E8AD87B" w14:textId="77777777" w:rsidR="002C1538" w:rsidRDefault="002C1538" w:rsidP="002C1538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134E156" w14:textId="77777777" w:rsidR="00545316" w:rsidRDefault="00545316" w:rsidP="00545316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E056F9">
              <w:rPr>
                <w:rFonts w:ascii="Trebuchet MS" w:hAnsi="Trebuchet MS" w:cs="Arial"/>
                <w:bCs/>
                <w:lang w:val="hr-HR"/>
              </w:rPr>
              <w:t xml:space="preserve">„Ponosni smo što smo prva banka u Hrvatskoj koja uvodi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ovo </w:t>
            </w:r>
            <w:proofErr w:type="spellStart"/>
            <w:r>
              <w:rPr>
                <w:rFonts w:ascii="Trebuchet MS" w:hAnsi="Trebuchet MS" w:cs="Arial"/>
                <w:bCs/>
                <w:lang w:val="hr-HR"/>
              </w:rPr>
              <w:t>Mastercardovo</w:t>
            </w:r>
            <w:proofErr w:type="spellEnd"/>
            <w:r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inovativno rješenje za transparentn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i prikaz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transakcij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a.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Osiguravši našim klijentima dodatne informacije o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kartičnim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transakcijama, nastojimo unaprijediti korisničko iskustvo digitalnog bankarstva, smanjiti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osjećaj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nesigurnost</w:t>
            </w:r>
            <w:r>
              <w:rPr>
                <w:rFonts w:ascii="Trebuchet MS" w:hAnsi="Trebuchet MS" w:cs="Arial"/>
                <w:bCs/>
                <w:lang w:val="hr-HR"/>
              </w:rPr>
              <w:t>i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i </w:t>
            </w:r>
            <w:r>
              <w:rPr>
                <w:rFonts w:ascii="Trebuchet MS" w:hAnsi="Trebuchet MS" w:cs="Arial"/>
                <w:bCs/>
                <w:lang w:val="hr-HR"/>
              </w:rPr>
              <w:t xml:space="preserve">ponovo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pokazati našu posvećenost pružanju naprednih modernih usluga”, izjavila je </w:t>
            </w:r>
            <w:r w:rsidRPr="009D5105">
              <w:rPr>
                <w:rFonts w:ascii="Trebuchet MS" w:hAnsi="Trebuchet MS" w:cs="Arial"/>
                <w:b/>
                <w:lang w:val="hr-HR"/>
              </w:rPr>
              <w:t>Petra Bašić Jantolić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, izvršna direktorica Razvoja poslovanja s klijentima Addiko banke.</w:t>
            </w:r>
          </w:p>
          <w:p w14:paraId="4EB504D9" w14:textId="77777777" w:rsidR="00545316" w:rsidRPr="00E056F9" w:rsidRDefault="00545316" w:rsidP="00545316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67AF6C7C" w14:textId="4809DA60" w:rsidR="00E056F9" w:rsidRPr="00E056F9" w:rsidRDefault="00E056F9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proofErr w:type="spellStart"/>
            <w:r w:rsidRPr="00E056F9">
              <w:rPr>
                <w:rFonts w:ascii="Trebuchet MS" w:hAnsi="Trebuchet MS" w:cs="Arial"/>
                <w:bCs/>
                <w:lang w:val="hr-HR"/>
              </w:rPr>
              <w:t>Logotipovi</w:t>
            </w:r>
            <w:proofErr w:type="spellEnd"/>
            <w:r w:rsidRPr="00E056F9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="001E6B96">
              <w:rPr>
                <w:rFonts w:ascii="Trebuchet MS" w:hAnsi="Trebuchet MS" w:cs="Arial"/>
                <w:bCs/>
                <w:lang w:val="hr-HR"/>
              </w:rPr>
              <w:t xml:space="preserve">ili grafički prikazi </w:t>
            </w:r>
            <w:r w:rsidR="001E6B96" w:rsidRPr="00E056F9">
              <w:rPr>
                <w:rFonts w:ascii="Trebuchet MS" w:hAnsi="Trebuchet MS" w:cs="Arial"/>
                <w:bCs/>
                <w:lang w:val="hr-HR"/>
              </w:rPr>
              <w:t xml:space="preserve">trgovaca </w:t>
            </w:r>
            <w:r w:rsidR="009D5105">
              <w:rPr>
                <w:rFonts w:ascii="Trebuchet MS" w:hAnsi="Trebuchet MS" w:cs="Arial"/>
                <w:bCs/>
                <w:lang w:val="hr-HR"/>
              </w:rPr>
              <w:t xml:space="preserve">u </w:t>
            </w:r>
            <w:proofErr w:type="spellStart"/>
            <w:r w:rsidR="009D5105">
              <w:rPr>
                <w:rFonts w:ascii="Trebuchet MS" w:hAnsi="Trebuchet MS" w:cs="Arial"/>
                <w:bCs/>
                <w:lang w:val="hr-HR"/>
              </w:rPr>
              <w:t>Addikovoj</w:t>
            </w:r>
            <w:proofErr w:type="spellEnd"/>
            <w:r w:rsidR="009D5105">
              <w:rPr>
                <w:rFonts w:ascii="Trebuchet MS" w:hAnsi="Trebuchet MS" w:cs="Arial"/>
                <w:bCs/>
                <w:lang w:val="hr-HR"/>
              </w:rPr>
              <w:t xml:space="preserve"> mobilnoj </w:t>
            </w:r>
            <w:r w:rsidR="00BE3908">
              <w:rPr>
                <w:rFonts w:ascii="Trebuchet MS" w:hAnsi="Trebuchet MS" w:cs="Arial"/>
                <w:bCs/>
                <w:lang w:val="hr-HR"/>
              </w:rPr>
              <w:t xml:space="preserve">i internetskoj </w:t>
            </w:r>
            <w:r w:rsidR="009D5105">
              <w:rPr>
                <w:rFonts w:ascii="Trebuchet MS" w:hAnsi="Trebuchet MS" w:cs="Arial"/>
                <w:bCs/>
                <w:lang w:val="hr-HR"/>
              </w:rPr>
              <w:t xml:space="preserve">aplikaciji </w:t>
            </w:r>
            <w:r w:rsidR="00CF7105">
              <w:rPr>
                <w:rFonts w:ascii="Trebuchet MS" w:hAnsi="Trebuchet MS" w:cs="Arial"/>
                <w:bCs/>
                <w:lang w:val="hr-HR"/>
              </w:rPr>
              <w:t>služe</w:t>
            </w:r>
            <w:r w:rsidR="008C3DFC">
              <w:rPr>
                <w:rFonts w:ascii="Trebuchet MS" w:hAnsi="Trebuchet MS" w:cs="Arial"/>
                <w:bCs/>
                <w:lang w:val="hr-HR"/>
              </w:rPr>
              <w:t xml:space="preserve">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kao jasne vizualne oznake, pomažući korisnicima kartica da brzo uoče i provjere svoje učinjene kupovine.  </w:t>
            </w:r>
          </w:p>
          <w:p w14:paraId="4FE1C975" w14:textId="77777777" w:rsidR="00E056F9" w:rsidRPr="00E056F9" w:rsidRDefault="00E056F9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23FA6360" w14:textId="0F2D6148" w:rsidR="00E056F9" w:rsidRPr="00E056F9" w:rsidRDefault="00E056F9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E056F9">
              <w:rPr>
                <w:rFonts w:ascii="Trebuchet MS" w:hAnsi="Trebuchet MS" w:cs="Arial"/>
                <w:bCs/>
                <w:lang w:val="hr-HR"/>
              </w:rPr>
              <w:t>„</w:t>
            </w:r>
            <w:r w:rsidR="001C0AB7" w:rsidRPr="001C0AB7">
              <w:rPr>
                <w:rFonts w:ascii="Trebuchet MS" w:hAnsi="Trebuchet MS" w:cs="Arial"/>
                <w:bCs/>
                <w:lang w:val="hr-HR"/>
              </w:rPr>
              <w:t xml:space="preserve">Mi u Mastercardu se vodimo time da korisnici kartica žele brza, jednostavna i sigurna rješenja. U skladu s time razvijamo inovativna rješenja za pomoć u ostvarivanju sigurnije digitalne ekonomije te pružamo podršku trgovcima i financijskim institucijama. Naše rješenje </w:t>
            </w:r>
            <w:proofErr w:type="spellStart"/>
            <w:r w:rsidR="001C0AB7" w:rsidRPr="001C0AB7">
              <w:rPr>
                <w:rFonts w:ascii="Trebuchet MS" w:hAnsi="Trebuchet MS" w:cs="Arial"/>
                <w:bCs/>
                <w:lang w:val="hr-HR"/>
              </w:rPr>
              <w:t>Ethoca</w:t>
            </w:r>
            <w:proofErr w:type="spellEnd"/>
            <w:r w:rsidR="001C0AB7" w:rsidRPr="001C0AB7">
              <w:rPr>
                <w:rFonts w:ascii="Trebuchet MS" w:hAnsi="Trebuchet MS" w:cs="Arial"/>
                <w:bCs/>
                <w:lang w:val="hr-HR"/>
              </w:rPr>
              <w:t xml:space="preserve"> je posebno značajno u današnjem kontekstu sve veće popularnosti online i mobilnog bankarstva. Transparentnost koju pružamo korisnicima donosi još veću kontrolu nad njihovim transakcijama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“, rekla je </w:t>
            </w:r>
            <w:r w:rsidRPr="009E2359">
              <w:rPr>
                <w:rFonts w:ascii="Trebuchet MS" w:hAnsi="Trebuchet MS" w:cs="Arial"/>
                <w:b/>
                <w:lang w:val="hr-HR"/>
              </w:rPr>
              <w:t xml:space="preserve">Gea </w:t>
            </w:r>
            <w:proofErr w:type="spellStart"/>
            <w:r w:rsidRPr="009E2359">
              <w:rPr>
                <w:rFonts w:ascii="Trebuchet MS" w:hAnsi="Trebuchet MS" w:cs="Arial"/>
                <w:b/>
                <w:lang w:val="hr-HR"/>
              </w:rPr>
              <w:t>Kariž</w:t>
            </w:r>
            <w:proofErr w:type="spellEnd"/>
            <w:r w:rsidRPr="00E056F9">
              <w:rPr>
                <w:rFonts w:ascii="Trebuchet MS" w:hAnsi="Trebuchet MS" w:cs="Arial"/>
                <w:bCs/>
                <w:lang w:val="hr-HR"/>
              </w:rPr>
              <w:t xml:space="preserve">, generalna </w:t>
            </w:r>
            <w:r w:rsidR="009D5105" w:rsidRPr="00E056F9">
              <w:rPr>
                <w:rFonts w:ascii="Trebuchet MS" w:hAnsi="Trebuchet MS" w:cs="Arial"/>
                <w:bCs/>
                <w:lang w:val="hr-HR"/>
              </w:rPr>
              <w:t>direktorica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 Mastercard Hrvatske. </w:t>
            </w:r>
          </w:p>
          <w:p w14:paraId="57C3137E" w14:textId="77777777" w:rsidR="00E056F9" w:rsidRPr="00E056F9" w:rsidRDefault="00E056F9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6E43713" w14:textId="324A87B5" w:rsidR="00E056F9" w:rsidRDefault="00E056F9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  <w:r w:rsidRPr="00E056F9">
              <w:rPr>
                <w:rFonts w:ascii="Trebuchet MS" w:hAnsi="Trebuchet MS" w:cs="Arial"/>
                <w:bCs/>
                <w:lang w:val="hr-HR"/>
              </w:rPr>
              <w:t xml:space="preserve">S obzirom da digitalno bankarstvo postaje primarni kanal za 60 posto korisnika </w:t>
            </w:r>
            <w:r w:rsidR="00CF7105">
              <w:rPr>
                <w:rFonts w:ascii="Trebuchet MS" w:hAnsi="Trebuchet MS" w:cs="Arial"/>
                <w:bCs/>
                <w:lang w:val="hr-HR"/>
              </w:rPr>
              <w:t xml:space="preserve">kartica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 xml:space="preserve">koji ga koriste više od jednom tjedno, ovo partnerstvo ima za cilj bolje </w:t>
            </w:r>
            <w:r w:rsidR="00224B63">
              <w:rPr>
                <w:rFonts w:ascii="Trebuchet MS" w:hAnsi="Trebuchet MS" w:cs="Arial"/>
                <w:bCs/>
                <w:lang w:val="hr-HR"/>
              </w:rPr>
              <w:t xml:space="preserve">i sigurnije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korisničko iskustvo, manji broj zahtjeva za povrat</w:t>
            </w:r>
            <w:r w:rsidR="00266BF2">
              <w:rPr>
                <w:rFonts w:ascii="Trebuchet MS" w:hAnsi="Trebuchet MS" w:cs="Arial"/>
                <w:bCs/>
                <w:lang w:val="hr-HR"/>
              </w:rPr>
              <w:t xml:space="preserve">om te </w:t>
            </w:r>
            <w:r w:rsidRPr="00E056F9">
              <w:rPr>
                <w:rFonts w:ascii="Trebuchet MS" w:hAnsi="Trebuchet MS" w:cs="Arial"/>
                <w:bCs/>
                <w:lang w:val="hr-HR"/>
              </w:rPr>
              <w:t>čvršću suradnju između korisnika kartica, trgovaca i banke.</w:t>
            </w:r>
          </w:p>
          <w:p w14:paraId="0188EB28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5817D651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1AEBBDA6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C605509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BB0CD88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0130B74E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003D0CF0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6CD462AB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0DDD37DB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9D188BD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6B39F72B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13FB24CA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5065C534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432D4C81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226A1545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610F766C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177E46D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06DEA41A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06458FF0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2BCD851D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5771B5C3" w14:textId="77777777" w:rsidR="00F61364" w:rsidRDefault="00F61364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AE498A5" w14:textId="77777777" w:rsidR="00FE0D97" w:rsidRDefault="00FE0D97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725722DC" w14:textId="77777777" w:rsidR="00FE0D97" w:rsidRDefault="00FE0D97" w:rsidP="00E056F9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  <w:p w14:paraId="35774816" w14:textId="3BFBF537" w:rsidR="00F61364" w:rsidRPr="00D60C21" w:rsidRDefault="00040B41" w:rsidP="00F61364">
            <w:pPr>
              <w:rPr>
                <w:rFonts w:ascii="Trebuchet MS" w:hAnsi="Trebuchet MS"/>
                <w:i/>
                <w:iCs/>
                <w:color w:val="auto"/>
                <w:szCs w:val="20"/>
              </w:rPr>
            </w:pPr>
            <w:hyperlink r:id="rId13" w:anchor="_ftn1" w:history="1">
              <w:r w:rsidR="00F61364" w:rsidRPr="00D60C21">
                <w:rPr>
                  <w:rFonts w:ascii="Trebuchet MS" w:hAnsi="Trebuchet MS" w:cs="Arial"/>
                  <w:bCs/>
                  <w:i/>
                  <w:iCs/>
                  <w:szCs w:val="20"/>
                  <w:lang w:val="hr-HR"/>
                </w:rPr>
                <w:t>[1]</w:t>
              </w:r>
            </w:hyperlink>
            <w:r w:rsidR="00F61364" w:rsidRPr="00D60C21">
              <w:rPr>
                <w:rFonts w:ascii="Trebuchet MS" w:hAnsi="Trebuchet MS" w:cs="Arial"/>
                <w:bCs/>
                <w:i/>
                <w:iCs/>
                <w:szCs w:val="20"/>
                <w:lang w:val="hr-HR"/>
              </w:rPr>
              <w:t xml:space="preserve"> Izvor: </w:t>
            </w:r>
            <w:hyperlink r:id="rId14" w:anchor=":~:text=The%20new%20opinion%20poll%20from,happens%20often%20or%20very%20often" w:history="1">
              <w:r w:rsidR="00F61364" w:rsidRPr="00D60C21">
                <w:rPr>
                  <w:rStyle w:val="Hyperlink"/>
                  <w:rFonts w:ascii="Trebuchet MS" w:hAnsi="Trebuchet MS"/>
                  <w:i/>
                  <w:iCs/>
                  <w:szCs w:val="20"/>
                </w:rPr>
                <w:t>https://www.mastercard.com/news/europe/en/newsroom/press-releases/en/2021/february/mastercard-simplifies-online-purchase-history/#:~:text=The%20new%20opinion%20poll%20from,happens%20often%20or%20very%20often</w:t>
              </w:r>
            </w:hyperlink>
          </w:p>
          <w:p w14:paraId="79C76A49" w14:textId="2DFFF4DB" w:rsidR="0044592F" w:rsidRPr="004C468F" w:rsidRDefault="0044592F" w:rsidP="004C468F">
            <w:pPr>
              <w:spacing w:line="288" w:lineRule="auto"/>
              <w:rPr>
                <w:rFonts w:ascii="Trebuchet MS" w:hAnsi="Trebuchet MS" w:cs="Arial"/>
                <w:bCs/>
                <w:lang w:val="hr-HR"/>
              </w:rPr>
            </w:pPr>
          </w:p>
        </w:tc>
      </w:tr>
    </w:tbl>
    <w:p w14:paraId="1EB7960F" w14:textId="77777777" w:rsidR="0035248D" w:rsidRPr="004C468F" w:rsidRDefault="0035248D">
      <w:pPr>
        <w:rPr>
          <w:rFonts w:ascii="Trebuchet MS" w:hAnsi="Trebuchet MS" w:cstheme="minorHAnsi"/>
          <w:lang w:val="hr-HR"/>
        </w:rPr>
      </w:pPr>
    </w:p>
    <w:sectPr w:rsidR="0035248D" w:rsidRPr="004C468F" w:rsidSect="0029127D">
      <w:headerReference w:type="default" r:id="rId15"/>
      <w:footerReference w:type="even" r:id="rId16"/>
      <w:footerReference w:type="first" r:id="rId17"/>
      <w:pgSz w:w="11906" w:h="16838"/>
      <w:pgMar w:top="3629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166706" w14:textId="77777777" w:rsidR="0029127D" w:rsidRDefault="0029127D" w:rsidP="0044592F">
      <w:pPr>
        <w:spacing w:after="0" w:line="240" w:lineRule="auto"/>
      </w:pPr>
      <w:r>
        <w:separator/>
      </w:r>
    </w:p>
  </w:endnote>
  <w:endnote w:type="continuationSeparator" w:id="0">
    <w:p w14:paraId="73502C8E" w14:textId="77777777" w:rsidR="0029127D" w:rsidRDefault="0029127D" w:rsidP="00445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lie Pro Me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harlie Pro Bld">
    <w:altName w:val="Calibri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9E44" w14:textId="04620FFF" w:rsidR="00A110D9" w:rsidRDefault="005820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0C4EBA" wp14:editId="64CD418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261883113" name="Text Box 2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D48E3C" w14:textId="26617787" w:rsidR="0058207C" w:rsidRPr="0058207C" w:rsidRDefault="0058207C" w:rsidP="005820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820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0C4E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Klasa povjerljivosti / Confidentiality class: INTERNO / INTERN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65D48E3C" w14:textId="26617787" w:rsidR="0058207C" w:rsidRPr="0058207C" w:rsidRDefault="0058207C" w:rsidP="005820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8207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C35C0" w14:textId="50F060E2" w:rsidR="00A110D9" w:rsidRDefault="005820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0C1A9C6" wp14:editId="126B2F1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715" b="0"/>
              <wp:wrapNone/>
              <wp:docPr id="1040451891" name="Text Box 1" descr="Klasa povjerljivosti / Confidentiality class: INTERNO /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3F0B91" w14:textId="0AAB8B47" w:rsidR="0058207C" w:rsidRPr="0058207C" w:rsidRDefault="0058207C" w:rsidP="0058207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58207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Klasa povjerljivosti / Confidentiality class: INTERNO /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C1A9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Klasa povjerljivosti / Confidentiality class: INTERNO / INTERN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213F0B91" w14:textId="0AAB8B47" w:rsidR="0058207C" w:rsidRPr="0058207C" w:rsidRDefault="0058207C" w:rsidP="0058207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58207C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Klasa povjerljivosti / Confidentiality class: INTERNO /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83987" w14:textId="77777777" w:rsidR="0029127D" w:rsidRDefault="0029127D" w:rsidP="0044592F">
      <w:pPr>
        <w:spacing w:after="0" w:line="240" w:lineRule="auto"/>
      </w:pPr>
      <w:r>
        <w:separator/>
      </w:r>
    </w:p>
  </w:footnote>
  <w:footnote w:type="continuationSeparator" w:id="0">
    <w:p w14:paraId="77B30579" w14:textId="77777777" w:rsidR="0029127D" w:rsidRDefault="0029127D" w:rsidP="00445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F3936" w14:textId="7B32E68C" w:rsidR="0044592F" w:rsidRDefault="004459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96352B" wp14:editId="307C8F20">
          <wp:simplePos x="0" y="0"/>
          <wp:positionH relativeFrom="page">
            <wp:posOffset>1204</wp:posOffset>
          </wp:positionH>
          <wp:positionV relativeFrom="page">
            <wp:posOffset>0</wp:posOffset>
          </wp:positionV>
          <wp:extent cx="7557592" cy="2005200"/>
          <wp:effectExtent l="0" t="0" r="571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592" cy="200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AB592E"/>
    <w:multiLevelType w:val="hybridMultilevel"/>
    <w:tmpl w:val="5594AA72"/>
    <w:lvl w:ilvl="0" w:tplc="D6202D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1B5A31"/>
    <w:multiLevelType w:val="hybridMultilevel"/>
    <w:tmpl w:val="D53AA132"/>
    <w:lvl w:ilvl="0" w:tplc="7922AF32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B1773"/>
    <w:multiLevelType w:val="hybridMultilevel"/>
    <w:tmpl w:val="DECE3B3E"/>
    <w:lvl w:ilvl="0" w:tplc="38A6C48C">
      <w:start w:val="1"/>
      <w:numFmt w:val="decimal"/>
      <w:lvlText w:val="(%1)"/>
      <w:lvlJc w:val="left"/>
      <w:pPr>
        <w:ind w:left="360" w:hanging="360"/>
      </w:pPr>
      <w:rPr>
        <w:rFonts w:ascii="Trebuchet MS" w:hAnsi="Trebuchet MS" w:cs="Arial" w:hint="default"/>
        <w:color w:val="002339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06337177">
    <w:abstractNumId w:val="1"/>
  </w:num>
  <w:num w:numId="2" w16cid:durableId="2028094280">
    <w:abstractNumId w:val="0"/>
  </w:num>
  <w:num w:numId="3" w16cid:durableId="591008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2F"/>
    <w:rsid w:val="00007709"/>
    <w:rsid w:val="00040B41"/>
    <w:rsid w:val="00055696"/>
    <w:rsid w:val="00091395"/>
    <w:rsid w:val="0011579F"/>
    <w:rsid w:val="00132BB8"/>
    <w:rsid w:val="00162709"/>
    <w:rsid w:val="001708D2"/>
    <w:rsid w:val="001939C3"/>
    <w:rsid w:val="00197CAC"/>
    <w:rsid w:val="001C0AB7"/>
    <w:rsid w:val="001E6B96"/>
    <w:rsid w:val="001F38C7"/>
    <w:rsid w:val="00224B63"/>
    <w:rsid w:val="0023193B"/>
    <w:rsid w:val="00266BF2"/>
    <w:rsid w:val="0029127D"/>
    <w:rsid w:val="00292012"/>
    <w:rsid w:val="002C1538"/>
    <w:rsid w:val="002E2C6C"/>
    <w:rsid w:val="00334F1E"/>
    <w:rsid w:val="0035248D"/>
    <w:rsid w:val="003A6738"/>
    <w:rsid w:val="003D2F9A"/>
    <w:rsid w:val="003F44B5"/>
    <w:rsid w:val="00400139"/>
    <w:rsid w:val="0044592F"/>
    <w:rsid w:val="0045043A"/>
    <w:rsid w:val="004535A4"/>
    <w:rsid w:val="00454464"/>
    <w:rsid w:val="00486FAB"/>
    <w:rsid w:val="0049560E"/>
    <w:rsid w:val="004C468F"/>
    <w:rsid w:val="00545316"/>
    <w:rsid w:val="0058207C"/>
    <w:rsid w:val="005B000F"/>
    <w:rsid w:val="00665748"/>
    <w:rsid w:val="00710A78"/>
    <w:rsid w:val="00726AB1"/>
    <w:rsid w:val="007C234C"/>
    <w:rsid w:val="007E467C"/>
    <w:rsid w:val="008618AF"/>
    <w:rsid w:val="008C3DFC"/>
    <w:rsid w:val="008D2C7E"/>
    <w:rsid w:val="00930E66"/>
    <w:rsid w:val="009355F6"/>
    <w:rsid w:val="009779DE"/>
    <w:rsid w:val="009A0003"/>
    <w:rsid w:val="009C1E4E"/>
    <w:rsid w:val="009D5105"/>
    <w:rsid w:val="009E2359"/>
    <w:rsid w:val="009F15CB"/>
    <w:rsid w:val="00A110D9"/>
    <w:rsid w:val="00A140C6"/>
    <w:rsid w:val="00A82DD4"/>
    <w:rsid w:val="00AD34EE"/>
    <w:rsid w:val="00AF61BC"/>
    <w:rsid w:val="00B2085E"/>
    <w:rsid w:val="00B25E66"/>
    <w:rsid w:val="00B80D14"/>
    <w:rsid w:val="00BA35F5"/>
    <w:rsid w:val="00BC2546"/>
    <w:rsid w:val="00BC285F"/>
    <w:rsid w:val="00BC38D3"/>
    <w:rsid w:val="00BD437A"/>
    <w:rsid w:val="00BE3908"/>
    <w:rsid w:val="00C63043"/>
    <w:rsid w:val="00C863CB"/>
    <w:rsid w:val="00CF7105"/>
    <w:rsid w:val="00D60C21"/>
    <w:rsid w:val="00D92381"/>
    <w:rsid w:val="00E00841"/>
    <w:rsid w:val="00E056F9"/>
    <w:rsid w:val="00E2224C"/>
    <w:rsid w:val="00E23628"/>
    <w:rsid w:val="00E237F7"/>
    <w:rsid w:val="00E26EB0"/>
    <w:rsid w:val="00E33131"/>
    <w:rsid w:val="00E46CDA"/>
    <w:rsid w:val="00ED61A6"/>
    <w:rsid w:val="00F61364"/>
    <w:rsid w:val="00FE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91B60C"/>
  <w15:chartTrackingRefBased/>
  <w15:docId w15:val="{A1D29E8F-FB15-4EA7-B119-C41316F6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9C3"/>
    <w:rPr>
      <w:rFonts w:ascii="Charlie Pro Med" w:hAnsi="Charlie Pro Med"/>
      <w:color w:val="002339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92F"/>
  </w:style>
  <w:style w:type="paragraph" w:styleId="Footer">
    <w:name w:val="footer"/>
    <w:basedOn w:val="Normal"/>
    <w:link w:val="FooterChar"/>
    <w:uiPriority w:val="99"/>
    <w:unhideWhenUsed/>
    <w:rsid w:val="004459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92F"/>
  </w:style>
  <w:style w:type="table" w:styleId="TableGrid">
    <w:name w:val="Table Grid"/>
    <w:basedOn w:val="TableNormal"/>
    <w:uiPriority w:val="39"/>
    <w:rsid w:val="0044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A140C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939C3"/>
    <w:pPr>
      <w:spacing w:after="0" w:line="240" w:lineRule="auto"/>
      <w:contextualSpacing/>
    </w:pPr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39C3"/>
    <w:rPr>
      <w:rFonts w:ascii="Charlie Pro Bld" w:eastAsiaTheme="majorEastAsia" w:hAnsi="Charlie Pro Bld" w:cstheme="majorBidi"/>
      <w:color w:val="EA415E"/>
      <w:spacing w:val="-10"/>
      <w:kern w:val="28"/>
      <w:sz w:val="48"/>
      <w:szCs w:val="56"/>
    </w:rPr>
  </w:style>
  <w:style w:type="paragraph" w:customStyle="1" w:styleId="Bullet">
    <w:name w:val="Bullet"/>
    <w:basedOn w:val="ListParagraph"/>
    <w:link w:val="BulletChar"/>
    <w:qFormat/>
    <w:rsid w:val="008D2C7E"/>
    <w:pPr>
      <w:numPr>
        <w:numId w:val="1"/>
      </w:numPr>
      <w:spacing w:after="0" w:line="260" w:lineRule="exact"/>
      <w:ind w:left="227" w:hanging="227"/>
    </w:pPr>
    <w:rPr>
      <w:rFonts w:ascii="Charlie Pro Bld" w:hAnsi="Charlie Pro Bld" w:cstheme="minorHAnsi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D2C7E"/>
    <w:rPr>
      <w:rFonts w:ascii="Charlie Pro Med" w:hAnsi="Charlie Pro Med"/>
      <w:color w:val="002339"/>
      <w:sz w:val="20"/>
    </w:rPr>
  </w:style>
  <w:style w:type="character" w:customStyle="1" w:styleId="BulletChar">
    <w:name w:val="Bullet Char"/>
    <w:basedOn w:val="ListParagraphChar"/>
    <w:link w:val="Bullet"/>
    <w:rsid w:val="008D2C7E"/>
    <w:rPr>
      <w:rFonts w:ascii="Charlie Pro Bld" w:hAnsi="Charlie Pro Bld" w:cstheme="minorHAnsi"/>
      <w:color w:val="002339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468F"/>
    <w:rPr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46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468F"/>
    <w:pPr>
      <w:spacing w:line="240" w:lineRule="auto"/>
    </w:pPr>
    <w:rPr>
      <w:rFonts w:ascii="Calibri" w:eastAsia="Calibri" w:hAnsi="Calibri" w:cs="Times New Roman"/>
      <w:color w:val="auto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68F"/>
    <w:rPr>
      <w:rFonts w:ascii="Calibri" w:eastAsia="Calibri" w:hAnsi="Calibri" w:cs="Times New Roman"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4535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2DD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3DFC"/>
    <w:rPr>
      <w:rFonts w:ascii="Charlie Pro Med" w:eastAsiaTheme="minorHAnsi" w:hAnsi="Charlie Pro Med" w:cstheme="minorBidi"/>
      <w:b/>
      <w:bCs/>
      <w:color w:val="002339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3DFC"/>
    <w:rPr>
      <w:rFonts w:ascii="Charlie Pro Med" w:eastAsia="Calibri" w:hAnsi="Charlie Pro Med" w:cs="Times New Roman"/>
      <w:b/>
      <w:bCs/>
      <w:color w:val="002339"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9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tercard.com/new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addiko.hr" TargetMode="Externa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addikobank_hrvatsk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company/addiko-bank-hrvatska/" TargetMode="External"/><Relationship Id="rId14" Type="http://schemas.openxmlformats.org/officeDocument/2006/relationships/hyperlink" Target="https://www.mastercard.com/news/europe/en/newsroom/press-releases/en/2021/february/mastercard-simplifies-online-purchase-history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katarik3</Manager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Gračan</dc:creator>
  <cp:keywords/>
  <dc:description>Classification blank by: katarik3</dc:description>
  <cp:lastModifiedBy>Katarina Kantolić (Addiko Croatia)</cp:lastModifiedBy>
  <cp:revision>2</cp:revision>
  <cp:lastPrinted>2022-11-15T19:16:00Z</cp:lastPrinted>
  <dcterms:created xsi:type="dcterms:W3CDTF">2024-05-20T07:33:00Z</dcterms:created>
  <dcterms:modified xsi:type="dcterms:W3CDTF">2024-05-20T07:33:00Z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3e040933,f9c04e9,2bedc32c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Klasa povjerljivosti / Confidentiality class: INTERNO / INTERNAL</vt:lpwstr>
  </property>
  <property fmtid="{D5CDD505-2E9C-101B-9397-08002B2CF9AE}" pid="5" name="MSIP_Label_68bb13b3-d2c1-4719-a5eb-d2f829e5e9fa_Enabled">
    <vt:lpwstr>true</vt:lpwstr>
  </property>
  <property fmtid="{D5CDD505-2E9C-101B-9397-08002B2CF9AE}" pid="6" name="MSIP_Label_68bb13b3-d2c1-4719-a5eb-d2f829e5e9fa_SetDate">
    <vt:lpwstr>2024-04-15T14:18:27Z</vt:lpwstr>
  </property>
  <property fmtid="{D5CDD505-2E9C-101B-9397-08002B2CF9AE}" pid="7" name="MSIP_Label_68bb13b3-d2c1-4719-a5eb-d2f829e5e9fa_Method">
    <vt:lpwstr>Standard</vt:lpwstr>
  </property>
  <property fmtid="{D5CDD505-2E9C-101B-9397-08002B2CF9AE}" pid="8" name="MSIP_Label_68bb13b3-d2c1-4719-a5eb-d2f829e5e9fa_Name">
    <vt:lpwstr>Interno - Internal (ABC)</vt:lpwstr>
  </property>
  <property fmtid="{D5CDD505-2E9C-101B-9397-08002B2CF9AE}" pid="9" name="MSIP_Label_68bb13b3-d2c1-4719-a5eb-d2f829e5e9fa_SiteId">
    <vt:lpwstr>ea54e955-ce3f-4547-9304-1cd2b88557ab</vt:lpwstr>
  </property>
  <property fmtid="{D5CDD505-2E9C-101B-9397-08002B2CF9AE}" pid="10" name="MSIP_Label_68bb13b3-d2c1-4719-a5eb-d2f829e5e9fa_ActionId">
    <vt:lpwstr>456e6c46-5fc9-407e-8543-3aa8464ab794</vt:lpwstr>
  </property>
  <property fmtid="{D5CDD505-2E9C-101B-9397-08002B2CF9AE}" pid="11" name="MSIP_Label_68bb13b3-d2c1-4719-a5eb-d2f829e5e9fa_ContentBits">
    <vt:lpwstr>2</vt:lpwstr>
  </property>
</Properties>
</file>