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11C4" w14:textId="77777777" w:rsidR="007C6CB0" w:rsidRDefault="007C6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435"/>
        <w:gridCol w:w="6450"/>
      </w:tblGrid>
      <w:tr w:rsidR="007C6CB0" w14:paraId="2E9C8EAA" w14:textId="77777777">
        <w:trPr>
          <w:trHeight w:val="567"/>
        </w:trPr>
        <w:tc>
          <w:tcPr>
            <w:tcW w:w="2415" w:type="dxa"/>
          </w:tcPr>
          <w:p w14:paraId="06558272" w14:textId="77777777" w:rsidR="007C6CB0" w:rsidRDefault="007C6CB0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35" w:type="dxa"/>
          </w:tcPr>
          <w:p w14:paraId="1979F4A8" w14:textId="77777777" w:rsidR="007C6CB0" w:rsidRDefault="007C6CB0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450" w:type="dxa"/>
          </w:tcPr>
          <w:p w14:paraId="76AB8F12" w14:textId="77777777" w:rsidR="007C6CB0" w:rsidRDefault="00354EA2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PRIOPĆENJE ZA MEDIJE</w:t>
            </w:r>
          </w:p>
        </w:tc>
      </w:tr>
      <w:tr w:rsidR="007C6CB0" w14:paraId="1C88A128" w14:textId="77777777">
        <w:tc>
          <w:tcPr>
            <w:tcW w:w="2415" w:type="dxa"/>
          </w:tcPr>
          <w:p w14:paraId="4719E39A" w14:textId="77777777" w:rsidR="007C6CB0" w:rsidRDefault="007C6CB0">
            <w:pPr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473D6E9A" w14:textId="77777777" w:rsidR="007C6CB0" w:rsidRDefault="00354EA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1CC8ED01" wp14:editId="6338FFBA">
                  <wp:extent cx="223520" cy="228600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1CB75D89" wp14:editId="418C17E0">
                  <wp:extent cx="223520" cy="228600"/>
                  <wp:effectExtent l="0" t="0" r="0" b="0"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367CD4AD" wp14:editId="6DF7C4B1">
                  <wp:extent cx="223520" cy="22860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C8D3C1" w14:textId="77777777" w:rsidR="007C6CB0" w:rsidRDefault="007C6C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2570435E" w14:textId="77777777" w:rsidR="007C6CB0" w:rsidRDefault="007C6C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5ED54616" w14:textId="77777777" w:rsidR="007C6CB0" w:rsidRDefault="007C6C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36EEAB23" w14:textId="77777777" w:rsidR="007C6CB0" w:rsidRDefault="00354EA2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Datum: 11/7/2025 </w:t>
            </w:r>
          </w:p>
          <w:p w14:paraId="7D281BD4" w14:textId="77777777" w:rsidR="007C6CB0" w:rsidRDefault="00354EA2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Kontakt: </w:t>
            </w:r>
          </w:p>
          <w:p w14:paraId="06C0841D" w14:textId="77777777" w:rsidR="007C6CB0" w:rsidRDefault="00354EA2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Katarina Kantolić,</w:t>
            </w:r>
          </w:p>
          <w:p w14:paraId="2298F5D3" w14:textId="77777777" w:rsidR="007C6CB0" w:rsidRDefault="00354EA2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menadžer Korporativnih komunikacija</w:t>
            </w:r>
          </w:p>
          <w:p w14:paraId="611B5659" w14:textId="77777777" w:rsidR="007C6CB0" w:rsidRDefault="00354EA2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091 4978 027</w:t>
            </w:r>
          </w:p>
          <w:p w14:paraId="70CC8519" w14:textId="77777777" w:rsidR="007C6CB0" w:rsidRDefault="00354EA2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katarina.kantolic@</w:t>
            </w:r>
            <w:r>
              <w:rPr>
                <w:rFonts w:ascii="Trebuchet MS" w:eastAsia="Trebuchet MS" w:hAnsi="Trebuchet MS" w:cs="Trebuchet MS"/>
              </w:rPr>
              <w:br/>
              <w:t>addiko.com</w:t>
            </w:r>
          </w:p>
          <w:p w14:paraId="711AF814" w14:textId="77777777" w:rsidR="007C6CB0" w:rsidRDefault="007C6CB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32AC1BF7" w14:textId="77777777" w:rsidR="007C6CB0" w:rsidRDefault="007C6CB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0FB9A096" w14:textId="77777777" w:rsidR="007C6CB0" w:rsidRDefault="007C6CB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5F524367" w14:textId="77777777" w:rsidR="007C6CB0" w:rsidRDefault="00354EA2">
            <w:pP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  <w:t>O Addiko Bank d.d.</w:t>
            </w:r>
          </w:p>
          <w:p w14:paraId="71F0A6FF" w14:textId="77777777" w:rsidR="007C6CB0" w:rsidRDefault="007C6CB0">
            <w:pP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38438A03" w14:textId="77777777" w:rsidR="007C6CB0" w:rsidRDefault="00354EA2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Addiko</w:t>
            </w: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 je specijalistička banka za građane te mala i srednja poduzeća, fokusirana na brzo i jednostavno kreditiranje i moderne usluge plaćanja. </w:t>
            </w:r>
          </w:p>
          <w:p w14:paraId="121254DB" w14:textId="77777777" w:rsidR="007C6CB0" w:rsidRDefault="007C6CB0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644E1F23" w14:textId="77777777" w:rsidR="007C6CB0" w:rsidRDefault="00354EA2">
            <w:pPr>
              <w:spacing w:line="200" w:lineRule="auto"/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Addiko Bank d.d. 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240D69CB" w14:textId="77777777" w:rsidR="007C6CB0" w:rsidRDefault="007C6CB0">
            <w:pPr>
              <w:spacing w:line="200" w:lineRule="auto"/>
            </w:pPr>
          </w:p>
          <w:p w14:paraId="31A04FB0" w14:textId="77777777" w:rsidR="007C6CB0" w:rsidRDefault="00354EA2">
            <w:pPr>
              <w:spacing w:line="20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teži pozicioniranju kao banka koja razvija inovativna, digitalna bankarska rješenja. Spremna je podijeliti svoja znanja sa zajednicom te podržati projekte kojima se poboljšava digitalna i financijska pismenost, posebno među mladima koji se tek spremaju za upravljanje osobnim financijama i kreću u poduzetništvo. </w:t>
            </w:r>
          </w:p>
        </w:tc>
        <w:tc>
          <w:tcPr>
            <w:tcW w:w="435" w:type="dxa"/>
          </w:tcPr>
          <w:p w14:paraId="6E1DDC97" w14:textId="77777777" w:rsidR="007C6CB0" w:rsidRDefault="007C6CB0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450" w:type="dxa"/>
          </w:tcPr>
          <w:p w14:paraId="0AA47BE7" w14:textId="5C635304" w:rsidR="007C6CB0" w:rsidRPr="000D2F8A" w:rsidRDefault="00240289">
            <w:pP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>R</w:t>
            </w:r>
            <w:r w:rsidR="000D2F8A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>ođendan Addiko banke proslavljen u ruhu financijske pismenosti: snage odmjerili novinari i influenceri</w:t>
            </w:r>
          </w:p>
          <w:p w14:paraId="633207E2" w14:textId="416018CA" w:rsidR="007C6CB0" w:rsidRDefault="000D2F8A" w:rsidP="000D2F8A">
            <w:pPr>
              <w:spacing w:before="240" w:after="240"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Povodom devetog rođendana Addiko banke, koji simbolično pada usred naše kampanje </w:t>
            </w:r>
            <w:r w:rsidRPr="000D2F8A">
              <w:rPr>
                <w:rFonts w:ascii="Trebuchet MS" w:eastAsia="Trebuchet MS" w:hAnsi="Trebuchet MS" w:cs="Trebuchet MS"/>
                <w:b/>
                <w:i/>
                <w:iCs/>
              </w:rPr>
              <w:t>„Glasno o novcu“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, organizirali smo </w:t>
            </w:r>
            <w:r w:rsidR="002C0E90">
              <w:rPr>
                <w:rFonts w:ascii="Trebuchet MS" w:eastAsia="Trebuchet MS" w:hAnsi="Trebuchet MS" w:cs="Trebuchet MS"/>
                <w:b/>
                <w:i/>
                <w:iCs/>
              </w:rPr>
              <w:t xml:space="preserve">netipičan 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kviz o </w:t>
            </w:r>
            <w:r w:rsidR="00354EA2">
              <w:rPr>
                <w:rFonts w:ascii="Trebuchet MS" w:eastAsia="Trebuchet MS" w:hAnsi="Trebuchet MS" w:cs="Trebuchet MS"/>
                <w:b/>
                <w:i/>
                <w:iCs/>
              </w:rPr>
              <w:t>pop kulturi i novcu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>. Ideja je</w:t>
            </w:r>
            <w:r w:rsidR="004C428A">
              <w:rPr>
                <w:rFonts w:ascii="Trebuchet MS" w:eastAsia="Trebuchet MS" w:hAnsi="Trebuchet MS" w:cs="Trebuchet MS"/>
                <w:b/>
                <w:i/>
                <w:iCs/>
              </w:rPr>
              <w:t xml:space="preserve"> bila</w:t>
            </w:r>
            <w:r>
              <w:rPr>
                <w:rFonts w:ascii="Trebuchet MS" w:eastAsia="Trebuchet MS" w:hAnsi="Trebuchet MS" w:cs="Trebuchet MS"/>
                <w:b/>
                <w:i/>
                <w:iCs/>
              </w:rPr>
              <w:t xml:space="preserve"> </w:t>
            </w:r>
            <w:r w:rsidR="00354EA2">
              <w:rPr>
                <w:rFonts w:ascii="Trebuchet MS" w:eastAsia="Trebuchet MS" w:hAnsi="Trebuchet MS" w:cs="Trebuchet MS"/>
                <w:b/>
                <w:i/>
                <w:iCs/>
              </w:rPr>
              <w:t xml:space="preserve">rođendansko </w:t>
            </w:r>
            <w:r w:rsidR="008A2BA2">
              <w:rPr>
                <w:rFonts w:ascii="Trebuchet MS" w:eastAsia="Trebuchet MS" w:hAnsi="Trebuchet MS" w:cs="Trebuchet MS"/>
                <w:b/>
                <w:i/>
                <w:iCs/>
              </w:rPr>
              <w:t xml:space="preserve">slavlje </w:t>
            </w:r>
            <w:r w:rsidR="00354EA2">
              <w:rPr>
                <w:rFonts w:ascii="Trebuchet MS" w:eastAsia="Trebuchet MS" w:hAnsi="Trebuchet MS" w:cs="Trebuchet MS"/>
                <w:b/>
                <w:i/>
                <w:iCs/>
              </w:rPr>
              <w:t xml:space="preserve">posvetiti </w:t>
            </w:r>
            <w:r w:rsidR="008A2BA2">
              <w:rPr>
                <w:rFonts w:ascii="Trebuchet MS" w:eastAsia="Trebuchet MS" w:hAnsi="Trebuchet MS" w:cs="Trebuchet MS"/>
                <w:b/>
                <w:i/>
                <w:iCs/>
              </w:rPr>
              <w:t>edukacij</w:t>
            </w:r>
            <w:r w:rsidR="00354EA2">
              <w:rPr>
                <w:rFonts w:ascii="Trebuchet MS" w:eastAsia="Trebuchet MS" w:hAnsi="Trebuchet MS" w:cs="Trebuchet MS"/>
                <w:b/>
                <w:i/>
                <w:iCs/>
              </w:rPr>
              <w:t>i</w:t>
            </w:r>
            <w:r w:rsidR="008A2BA2">
              <w:rPr>
                <w:rFonts w:ascii="Trebuchet MS" w:eastAsia="Trebuchet MS" w:hAnsi="Trebuchet MS" w:cs="Trebuchet MS"/>
                <w:b/>
                <w:i/>
                <w:iCs/>
              </w:rPr>
              <w:t xml:space="preserve"> o financijskom dijalogu</w:t>
            </w:r>
            <w:r w:rsidR="002C0E90">
              <w:rPr>
                <w:rFonts w:ascii="Trebuchet MS" w:eastAsia="Trebuchet MS" w:hAnsi="Trebuchet MS" w:cs="Trebuchet MS"/>
                <w:b/>
                <w:i/>
                <w:iCs/>
              </w:rPr>
              <w:t xml:space="preserve">. Kao šlag na torti, </w:t>
            </w:r>
            <w:r w:rsidR="008A2BA2">
              <w:rPr>
                <w:rFonts w:ascii="Trebuchet MS" w:eastAsia="Trebuchet MS" w:hAnsi="Trebuchet MS" w:cs="Trebuchet MS"/>
                <w:b/>
                <w:i/>
                <w:iCs/>
              </w:rPr>
              <w:t xml:space="preserve">pripremamo </w:t>
            </w:r>
            <w:r w:rsidR="002C0E90">
              <w:rPr>
                <w:rFonts w:ascii="Trebuchet MS" w:eastAsia="Trebuchet MS" w:hAnsi="Trebuchet MS" w:cs="Trebuchet MS"/>
                <w:b/>
                <w:i/>
                <w:iCs/>
              </w:rPr>
              <w:t>velike nagrade</w:t>
            </w:r>
            <w:r w:rsidR="004C428A">
              <w:rPr>
                <w:rFonts w:ascii="Trebuchet MS" w:eastAsia="Trebuchet MS" w:hAnsi="Trebuchet MS" w:cs="Trebuchet MS"/>
                <w:b/>
                <w:i/>
                <w:iCs/>
              </w:rPr>
              <w:t xml:space="preserve"> za</w:t>
            </w:r>
            <w:r w:rsidR="002C0E90">
              <w:rPr>
                <w:rFonts w:ascii="Trebuchet MS" w:eastAsia="Trebuchet MS" w:hAnsi="Trebuchet MS" w:cs="Trebuchet MS"/>
                <w:b/>
                <w:i/>
                <w:iCs/>
              </w:rPr>
              <w:t xml:space="preserve"> </w:t>
            </w:r>
            <w:r w:rsidR="004C428A">
              <w:rPr>
                <w:rFonts w:ascii="Trebuchet MS" w:eastAsia="Trebuchet MS" w:hAnsi="Trebuchet MS" w:cs="Trebuchet MS"/>
                <w:b/>
                <w:i/>
                <w:iCs/>
              </w:rPr>
              <w:t>građane</w:t>
            </w:r>
            <w:r w:rsidR="002C0E90">
              <w:rPr>
                <w:rFonts w:ascii="Trebuchet MS" w:eastAsia="Trebuchet MS" w:hAnsi="Trebuchet MS" w:cs="Trebuchet MS"/>
                <w:b/>
                <w:i/>
                <w:iCs/>
              </w:rPr>
              <w:t xml:space="preserve">, </w:t>
            </w:r>
            <w:r>
              <w:rPr>
                <w:rFonts w:ascii="Trebuchet MS" w:eastAsia="Trebuchet MS" w:hAnsi="Trebuchet MS" w:cs="Trebuchet MS"/>
                <w:b/>
              </w:rPr>
              <w:t xml:space="preserve">izjavila je Petra Bašić Jantolić, </w:t>
            </w:r>
            <w:r>
              <w:rPr>
                <w:rFonts w:ascii="Trebuchet MS" w:eastAsia="Trebuchet MS" w:hAnsi="Trebuchet MS" w:cs="Trebuchet MS"/>
                <w:b/>
                <w:highlight w:val="white"/>
              </w:rPr>
              <w:t>izvršna direktorica Razvoja poslovanja s klijentima u Addiko banci.</w:t>
            </w:r>
          </w:p>
          <w:p w14:paraId="62314359" w14:textId="465E58DB" w:rsidR="008A2BA2" w:rsidRDefault="008A2BA2" w:rsidP="008A2BA2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</w:t>
            </w:r>
            <w:r w:rsidRPr="007C7F72">
              <w:rPr>
                <w:rFonts w:ascii="Trebuchet MS" w:eastAsia="Trebuchet MS" w:hAnsi="Trebuchet MS" w:cs="Trebuchet MS"/>
              </w:rPr>
              <w:t>eset ekipa u opuštenoj atmosferi zagrebačkog Daniel’s bara</w:t>
            </w:r>
            <w:r>
              <w:rPr>
                <w:rFonts w:ascii="Trebuchet MS" w:eastAsia="Trebuchet MS" w:hAnsi="Trebuchet MS" w:cs="Trebuchet MS"/>
              </w:rPr>
              <w:t xml:space="preserve"> sinoć je na  rođendanskom pub kvizu </w:t>
            </w:r>
            <w:r w:rsidRPr="007C7F72">
              <w:rPr>
                <w:rFonts w:ascii="Trebuchet MS" w:eastAsia="Trebuchet MS" w:hAnsi="Trebuchet MS" w:cs="Trebuchet MS"/>
              </w:rPr>
              <w:t xml:space="preserve">odgovaralo na pitanja poput </w:t>
            </w:r>
            <w:r>
              <w:rPr>
                <w:rFonts w:ascii="Trebuchet MS" w:eastAsia="Trebuchet MS" w:hAnsi="Trebuchet MS" w:cs="Trebuchet MS"/>
              </w:rPr>
              <w:t>„Koji je najpoznatiji burzovni indeks Wall Streeta“</w:t>
            </w:r>
            <w:r w:rsidRPr="007C7F72">
              <w:rPr>
                <w:rFonts w:ascii="Trebuchet MS" w:eastAsia="Trebuchet MS" w:hAnsi="Trebuchet MS" w:cs="Trebuchet MS"/>
              </w:rPr>
              <w:t xml:space="preserve"> ili</w:t>
            </w:r>
            <w:r>
              <w:rPr>
                <w:rFonts w:ascii="Trebuchet MS" w:eastAsia="Trebuchet MS" w:hAnsi="Trebuchet MS" w:cs="Trebuchet MS"/>
              </w:rPr>
              <w:t>, popularnije, „U kojoj filmskoj adaptaciji Christian Bale glumi investicijskog bankara“. Među sudionicima našli su se i domaći influenceri, novinari, radijski voditelji te financijski stručnjaci, dok je  pobjedu odnio jedan kvizaški tim prijatelja</w:t>
            </w:r>
            <w:r w:rsidR="00C06BD0">
              <w:rPr>
                <w:rFonts w:ascii="Trebuchet MS" w:eastAsia="Trebuchet MS" w:hAnsi="Trebuchet MS" w:cs="Trebuchet MS"/>
              </w:rPr>
              <w:t xml:space="preserve"> </w:t>
            </w:r>
            <w:r w:rsidR="00C06BD0">
              <w:rPr>
                <w:rFonts w:ascii="Trebuchet MS" w:eastAsia="Trebuchet MS" w:hAnsi="Trebuchet MS" w:cs="Trebuchet MS"/>
              </w:rPr>
              <w:t xml:space="preserve">i odnio nagradu od 1.000 eura na Addiko Mastercard Prepaid kartici.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16F18E5E" w14:textId="77777777" w:rsidR="008A2BA2" w:rsidRDefault="008A2BA2" w:rsidP="008A2BA2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</w:p>
          <w:p w14:paraId="37D63420" w14:textId="77777777" w:rsidR="00C06BD0" w:rsidRDefault="00C06BD0" w:rsidP="00C06BD0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  <w:iCs/>
              </w:rPr>
              <w:t>„</w:t>
            </w:r>
            <w:r w:rsidRPr="00A41D09">
              <w:rPr>
                <w:rFonts w:ascii="Trebuchet MS" w:eastAsia="Trebuchet MS" w:hAnsi="Trebuchet MS" w:cs="Trebuchet MS"/>
                <w:i/>
                <w:iCs/>
              </w:rPr>
              <w:t xml:space="preserve">Iako smo došli zbog kviza i druženja, odlazimo kući </w:t>
            </w:r>
            <w:r>
              <w:rPr>
                <w:rFonts w:ascii="Trebuchet MS" w:eastAsia="Trebuchet MS" w:hAnsi="Trebuchet MS" w:cs="Trebuchet MS"/>
                <w:i/>
                <w:iCs/>
              </w:rPr>
              <w:t xml:space="preserve">svjesniji koliko malo pričamo o novcu s bližnjima i koliko nam to može pomoći u donošenju boljih životnih odluka. </w:t>
            </w:r>
            <w:r w:rsidRPr="00A41D09">
              <w:rPr>
                <w:rFonts w:ascii="Trebuchet MS" w:eastAsia="Trebuchet MS" w:hAnsi="Trebuchet MS" w:cs="Trebuchet MS"/>
                <w:i/>
                <w:iCs/>
              </w:rPr>
              <w:t>Hvala Addik</w:t>
            </w:r>
            <w:r>
              <w:rPr>
                <w:rFonts w:ascii="Trebuchet MS" w:eastAsia="Trebuchet MS" w:hAnsi="Trebuchet MS" w:cs="Trebuchet MS"/>
                <w:i/>
                <w:iCs/>
              </w:rPr>
              <w:t>o banci</w:t>
            </w:r>
            <w:r w:rsidRPr="00A41D09">
              <w:rPr>
                <w:rFonts w:ascii="Trebuchet MS" w:eastAsia="Trebuchet MS" w:hAnsi="Trebuchet MS" w:cs="Trebuchet MS"/>
                <w:i/>
                <w:iCs/>
              </w:rPr>
              <w:t xml:space="preserve"> na super druženju i nagradi, i vidimo se na jubilarnom desetom rođendanu iduće godine</w:t>
            </w:r>
            <w:r>
              <w:rPr>
                <w:rFonts w:ascii="Trebuchet MS" w:eastAsia="Trebuchet MS" w:hAnsi="Trebuchet MS" w:cs="Trebuchet MS"/>
              </w:rPr>
              <w:t>, poručili su članovi pobjedničke ekipe „</w:t>
            </w:r>
            <w:r w:rsidRPr="00A41D09">
              <w:rPr>
                <w:rFonts w:ascii="Trebuchet MS" w:eastAsia="Trebuchet MS" w:hAnsi="Trebuchet MS" w:cs="Trebuchet MS"/>
                <w:b/>
                <w:bCs/>
              </w:rPr>
              <w:t>Doktorirani znalci</w:t>
            </w:r>
            <w:r>
              <w:rPr>
                <w:rFonts w:ascii="Trebuchet MS" w:eastAsia="Trebuchet MS" w:hAnsi="Trebuchet MS" w:cs="Trebuchet MS"/>
                <w:b/>
                <w:bCs/>
              </w:rPr>
              <w:t>“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41D09">
              <w:rPr>
                <w:rFonts w:ascii="Trebuchet MS" w:eastAsia="Trebuchet MS" w:hAnsi="Trebuchet MS" w:cs="Trebuchet MS"/>
              </w:rPr>
              <w:t>Luka Sičaja</w:t>
            </w:r>
            <w:r>
              <w:rPr>
                <w:rFonts w:ascii="Trebuchet MS" w:eastAsia="Trebuchet MS" w:hAnsi="Trebuchet MS" w:cs="Trebuchet MS"/>
              </w:rPr>
              <w:t>, M</w:t>
            </w:r>
            <w:r w:rsidRPr="00A41D09">
              <w:rPr>
                <w:rFonts w:ascii="Trebuchet MS" w:eastAsia="Trebuchet MS" w:hAnsi="Trebuchet MS" w:cs="Trebuchet MS"/>
              </w:rPr>
              <w:t>ihaela Sičaj</w:t>
            </w:r>
            <w:r>
              <w:rPr>
                <w:rFonts w:ascii="Trebuchet MS" w:eastAsia="Trebuchet MS" w:hAnsi="Trebuchet MS" w:cs="Trebuchet MS"/>
              </w:rPr>
              <w:t xml:space="preserve">a, </w:t>
            </w:r>
            <w:r w:rsidRPr="00A41D09">
              <w:rPr>
                <w:rFonts w:ascii="Trebuchet MS" w:eastAsia="Trebuchet MS" w:hAnsi="Trebuchet MS" w:cs="Trebuchet MS"/>
              </w:rPr>
              <w:t>Ivan Hršak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41D09">
              <w:rPr>
                <w:rFonts w:ascii="Trebuchet MS" w:eastAsia="Trebuchet MS" w:hAnsi="Trebuchet MS" w:cs="Trebuchet MS"/>
              </w:rPr>
              <w:t>Laura Vrbanić</w:t>
            </w:r>
            <w:r>
              <w:rPr>
                <w:rFonts w:ascii="Trebuchet MS" w:eastAsia="Trebuchet MS" w:hAnsi="Trebuchet MS" w:cs="Trebuchet MS"/>
              </w:rPr>
              <w:t xml:space="preserve"> i </w:t>
            </w:r>
            <w:r w:rsidRPr="00A41D09">
              <w:rPr>
                <w:rFonts w:ascii="Trebuchet MS" w:eastAsia="Trebuchet MS" w:hAnsi="Trebuchet MS" w:cs="Trebuchet MS"/>
              </w:rPr>
              <w:t>Josip Bitunjac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  <w:p w14:paraId="1AAAE66D" w14:textId="77777777" w:rsidR="002C0E90" w:rsidRDefault="002C0E90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</w:p>
          <w:p w14:paraId="33CAE904" w14:textId="3A546E62" w:rsidR="008A2BA2" w:rsidRDefault="008A2BA2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Od idućeg tjedna, rođendanski kviz seli se i </w:t>
            </w:r>
            <w:r w:rsidRPr="008A2BA2">
              <w:rPr>
                <w:rFonts w:ascii="Trebuchet MS" w:eastAsia="Trebuchet MS" w:hAnsi="Trebuchet MS" w:cs="Trebuchet MS"/>
                <w:i/>
                <w:iCs/>
              </w:rPr>
              <w:t>online</w:t>
            </w:r>
            <w:r>
              <w:rPr>
                <w:rFonts w:ascii="Trebuchet MS" w:eastAsia="Trebuchet MS" w:hAnsi="Trebuchet MS" w:cs="Trebuchet MS"/>
              </w:rPr>
              <w:t>, a troje najsretnijih očekuje velika nagrada: iznos u visini tri prosječne hrvatske plaće. Izravna je to asocijacija na preporučeni</w:t>
            </w:r>
            <w:r w:rsidRPr="008A2BA2">
              <w:rPr>
                <w:rFonts w:ascii="Trebuchet MS" w:eastAsia="Trebuchet MS" w:hAnsi="Trebuchet MS" w:cs="Trebuchet MS"/>
              </w:rPr>
              <w:t xml:space="preserve"> fond koji bi svak</w:t>
            </w:r>
            <w:r w:rsidR="00C06BD0">
              <w:rPr>
                <w:rFonts w:ascii="Trebuchet MS" w:eastAsia="Trebuchet MS" w:hAnsi="Trebuchet MS" w:cs="Trebuchet MS"/>
              </w:rPr>
              <w:t xml:space="preserve">i pojedinac minimalno </w:t>
            </w:r>
            <w:r w:rsidRPr="008A2BA2">
              <w:rPr>
                <w:rFonts w:ascii="Trebuchet MS" w:eastAsia="Trebuchet MS" w:hAnsi="Trebuchet MS" w:cs="Trebuchet MS"/>
              </w:rPr>
              <w:t xml:space="preserve">trebao imati ušteđeno za takozvane „crne dane“. Osim što će građani imati priliku osvojiti takvu sumu povodom devetog rođendana </w:t>
            </w:r>
            <w:r w:rsidRPr="008A2BA2">
              <w:rPr>
                <w:rFonts w:ascii="Trebuchet MS" w:eastAsia="Trebuchet MS" w:hAnsi="Trebuchet MS" w:cs="Trebuchet MS"/>
              </w:rPr>
              <w:lastRenderedPageBreak/>
              <w:t xml:space="preserve">Addiko banke, krizni fond jedna je od glavnih tema za razgovor u sklopu kampanje „Glasno o novcu“. </w:t>
            </w:r>
          </w:p>
          <w:p w14:paraId="11FCCC16" w14:textId="77777777" w:rsidR="002C0E90" w:rsidRDefault="002C0E90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</w:p>
          <w:p w14:paraId="2F8479DA" w14:textId="514A314C" w:rsidR="007C6CB0" w:rsidRDefault="00354EA2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Kampanja </w:t>
            </w:r>
            <w:r>
              <w:rPr>
                <w:rFonts w:ascii="Trebuchet MS" w:eastAsia="Trebuchet MS" w:hAnsi="Trebuchet MS" w:cs="Trebuchet MS"/>
                <w:b/>
              </w:rPr>
              <w:t>„Glasno o novcu“</w:t>
            </w:r>
            <w:r>
              <w:rPr>
                <w:rFonts w:ascii="Trebuchet MS" w:eastAsia="Trebuchet MS" w:hAnsi="Trebuchet MS" w:cs="Trebuchet MS"/>
              </w:rPr>
              <w:t xml:space="preserve"> temelji se na rezultatima istraživanja o financijskim navikama i stavovima građana te je osmišljena kao platforma kojom se potiče otvoren i iskren razgovor o novcu – u obitelji, među partnerima i u društvu općenito. Addiko banka se u 2025. godini obvezala da će kontinuiranim </w:t>
            </w:r>
            <w:r w:rsidR="00C06BD0">
              <w:rPr>
                <w:rFonts w:ascii="Trebuchet MS" w:eastAsia="Trebuchet MS" w:hAnsi="Trebuchet MS" w:cs="Trebuchet MS"/>
              </w:rPr>
              <w:t>djelovanjem</w:t>
            </w:r>
            <w:r>
              <w:rPr>
                <w:rFonts w:ascii="Trebuchet MS" w:eastAsia="Trebuchet MS" w:hAnsi="Trebuchet MS" w:cs="Trebuchet MS"/>
              </w:rPr>
              <w:t xml:space="preserve"> u javnom prostoru utjecati na povećanje postotka građana Hrvatske koji redovito razgovaraju o novcu s trenutnih 36 % na 56 % do 2028. godine.</w:t>
            </w:r>
          </w:p>
          <w:p w14:paraId="0843650F" w14:textId="0AA98C3C" w:rsidR="000D2F8A" w:rsidRDefault="00C06BD0">
            <w:pPr>
              <w:spacing w:before="240" w:after="240"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Više informacija o kampanji „Glasno o novcu“, </w:t>
            </w:r>
            <w:r w:rsidRPr="00DA1C2C">
              <w:rPr>
                <w:rFonts w:ascii="Trebuchet MS" w:eastAsia="Trebuchet MS" w:hAnsi="Trebuchet MS" w:cs="Trebuchet MS"/>
              </w:rPr>
              <w:t xml:space="preserve">kao i devet </w:t>
            </w:r>
            <w:r>
              <w:rPr>
                <w:rFonts w:ascii="Trebuchet MS" w:eastAsia="Trebuchet MS" w:hAnsi="Trebuchet MS" w:cs="Trebuchet MS"/>
              </w:rPr>
              <w:t>konkretnih</w:t>
            </w:r>
            <w:r w:rsidRPr="00DA1C2C">
              <w:rPr>
                <w:rFonts w:ascii="Trebuchet MS" w:eastAsia="Trebuchet MS" w:hAnsi="Trebuchet MS" w:cs="Trebuchet MS"/>
              </w:rPr>
              <w:t xml:space="preserve"> tema za početak razgovora o novcu, </w:t>
            </w:r>
            <w:r>
              <w:rPr>
                <w:rFonts w:ascii="Trebuchet MS" w:eastAsia="Trebuchet MS" w:hAnsi="Trebuchet MS" w:cs="Trebuchet MS"/>
              </w:rPr>
              <w:t xml:space="preserve">možete pronaći na poveznici:  </w:t>
            </w:r>
            <w:r w:rsidRPr="00DA1C2C">
              <w:rPr>
                <w:rFonts w:ascii="Segoe UI Emoji" w:eastAsia="Trebuchet MS" w:hAnsi="Segoe UI Emoji" w:cs="Segoe UI Emoji"/>
                <w:u w:val="single"/>
              </w:rPr>
              <w:t>🔗</w:t>
            </w:r>
            <w:r w:rsidRPr="00DA1C2C">
              <w:rPr>
                <w:rFonts w:ascii="Trebuchet MS" w:eastAsia="Trebuchet MS" w:hAnsi="Trebuchet MS" w:cs="Trebuchet MS"/>
                <w:u w:val="single"/>
              </w:rPr>
              <w:t xml:space="preserve"> Glasno o novcu.</w:t>
            </w:r>
          </w:p>
        </w:tc>
      </w:tr>
    </w:tbl>
    <w:p w14:paraId="409B318E" w14:textId="77777777" w:rsidR="007C6CB0" w:rsidRDefault="007C6CB0">
      <w:pPr>
        <w:rPr>
          <w:rFonts w:ascii="Trebuchet MS" w:eastAsia="Trebuchet MS" w:hAnsi="Trebuchet MS" w:cs="Trebuchet MS"/>
        </w:rPr>
      </w:pPr>
    </w:p>
    <w:sectPr w:rsidR="007C6C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29" w:right="851" w:bottom="144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23B0A" w14:textId="77777777" w:rsidR="006E1D05" w:rsidRDefault="006E1D05">
      <w:pPr>
        <w:spacing w:after="0" w:line="240" w:lineRule="auto"/>
      </w:pPr>
      <w:r>
        <w:separator/>
      </w:r>
    </w:p>
  </w:endnote>
  <w:endnote w:type="continuationSeparator" w:id="0">
    <w:p w14:paraId="7DD7F7D2" w14:textId="77777777" w:rsidR="006E1D05" w:rsidRDefault="006E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arlie Pro Med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lie Pro Bld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22AD" w14:textId="1B17DB8D" w:rsidR="007C6CB0" w:rsidRDefault="00C06B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4E7946" wp14:editId="1C3305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1682251536" name="Text Box 2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2003C" w14:textId="60CFD6E3" w:rsidR="00C06BD0" w:rsidRPr="00C06BD0" w:rsidRDefault="00C06BD0" w:rsidP="00C06B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06B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E79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a povjerljivosti / Confidentiality class: INTERNO / INTERNAL" style="position:absolute;margin-left:0;margin-top:0;width:256.0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D02003C" w14:textId="60CFD6E3" w:rsidR="00C06BD0" w:rsidRPr="00C06BD0" w:rsidRDefault="00C06BD0" w:rsidP="00C06B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06BD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226B" w14:textId="6FBCEFF5" w:rsidR="007C6CB0" w:rsidRDefault="00C06B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E4E6A96" wp14:editId="5DFFC77F">
              <wp:simplePos x="539750" y="100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876427884" name="Text Box 3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88AF5" w14:textId="0757C175" w:rsidR="00C06BD0" w:rsidRPr="00C06BD0" w:rsidRDefault="00C06BD0" w:rsidP="00C06B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06B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E6A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lasa povjerljivosti / Confidentiality class: INTERNO / INTERNAL" style="position:absolute;margin-left:0;margin-top:0;width:256.0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D88AF5" w14:textId="0757C175" w:rsidR="00C06BD0" w:rsidRPr="00C06BD0" w:rsidRDefault="00C06BD0" w:rsidP="00C06B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06BD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9E826" w14:textId="030B8DF4" w:rsidR="007C6CB0" w:rsidRDefault="00C06B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5187AE" wp14:editId="2F148A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398357100" name="Text Box 1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8C225" w14:textId="10FD0187" w:rsidR="00C06BD0" w:rsidRPr="00C06BD0" w:rsidRDefault="00C06BD0" w:rsidP="00C06B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06B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187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lasa povjerljivosti / Confidentiality class: INTERNO / INTERNAL" style="position:absolute;margin-left:0;margin-top:0;width:256.0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EB8C225" w14:textId="10FD0187" w:rsidR="00C06BD0" w:rsidRPr="00C06BD0" w:rsidRDefault="00C06BD0" w:rsidP="00C06B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06BD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0CEC" w14:textId="77777777" w:rsidR="006E1D05" w:rsidRDefault="006E1D05">
      <w:pPr>
        <w:spacing w:after="0" w:line="240" w:lineRule="auto"/>
      </w:pPr>
      <w:r>
        <w:separator/>
      </w:r>
    </w:p>
  </w:footnote>
  <w:footnote w:type="continuationSeparator" w:id="0">
    <w:p w14:paraId="3A5A39C1" w14:textId="77777777" w:rsidR="006E1D05" w:rsidRDefault="006E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A8812" w14:textId="77777777" w:rsidR="007C6CB0" w:rsidRDefault="007C6C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9A71" w14:textId="77777777" w:rsidR="007C6CB0" w:rsidRDefault="00354E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30404B5" wp14:editId="3C3563B4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0" b="0"/>
          <wp:wrapNone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A4C0" w14:textId="77777777" w:rsidR="007C6CB0" w:rsidRDefault="007C6C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86E9F"/>
    <w:multiLevelType w:val="multilevel"/>
    <w:tmpl w:val="4214826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113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B0"/>
    <w:rsid w:val="000D2F8A"/>
    <w:rsid w:val="00167855"/>
    <w:rsid w:val="0018564B"/>
    <w:rsid w:val="00240289"/>
    <w:rsid w:val="002C0E90"/>
    <w:rsid w:val="00354EA2"/>
    <w:rsid w:val="004C428A"/>
    <w:rsid w:val="006874BB"/>
    <w:rsid w:val="006E1D05"/>
    <w:rsid w:val="00726FBD"/>
    <w:rsid w:val="007C6CB0"/>
    <w:rsid w:val="008A2BA2"/>
    <w:rsid w:val="009A1C93"/>
    <w:rsid w:val="00A73B40"/>
    <w:rsid w:val="00B07B27"/>
    <w:rsid w:val="00C06BD0"/>
    <w:rsid w:val="00D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A37A6"/>
  <w15:docId w15:val="{9F58F2B5-6B2F-417C-BD09-3E3FB74C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harlie Pro Med" w:eastAsia="Charlie Pro Med" w:hAnsi="Charlie Pro Med" w:cs="Charlie Pro Med"/>
        <w:color w:val="002339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8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</w:pPr>
    <w:rPr>
      <w:rFonts w:ascii="Charlie Pro Bld" w:eastAsia="Charlie Pro Bld" w:hAnsi="Charlie Pro Bld" w:cs="Charlie Pro Bld"/>
      <w:color w:val="EA415E"/>
      <w:sz w:val="48"/>
      <w:szCs w:val="48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28A"/>
    <w:rPr>
      <w:rFonts w:ascii="Charlie Pro Med" w:eastAsia="Charlie Pro Med" w:hAnsi="Charlie Pro Med" w:cs="Charlie Pro Med"/>
      <w:b/>
      <w:bCs/>
      <w:color w:val="002339"/>
      <w:lang w:val="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28A"/>
    <w:rPr>
      <w:rFonts w:ascii="Calibri" w:eastAsia="Calibri" w:hAnsi="Calibri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f8JsO/V7TY16ALU0N31dA5PvQ==">CgMxLjA4AHIhMUE2S1h2U3lxcGJkaWdYejgyeEFHNUw1dzV0YWlmNG03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2815</Characters>
  <Application>Microsoft Office Word</Application>
  <DocSecurity>0</DocSecurity>
  <Lines>97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Gračan</dc:creator>
  <cp:lastModifiedBy>Katarina Kantolić (Addiko Croatia)</cp:lastModifiedBy>
  <cp:revision>3</cp:revision>
  <dcterms:created xsi:type="dcterms:W3CDTF">2025-07-11T09:55:00Z</dcterms:created>
  <dcterms:modified xsi:type="dcterms:W3CDTF">2025-07-11T09:56:00Z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d49ee71f-684c-4ca6-a071-90c6a1cda695</vt:lpwstr>
  </property>
  <property fmtid="{D5CDD505-2E9C-101B-9397-08002B2CF9AE}" pid="3" name="ClassificationContentMarkingFooterShapeIds">
    <vt:lpwstr>17be726c,64451f10,343d3a6c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Klasa povjerljivosti / Confidentiality class: INTERNO / INTERNAL</vt:lpwstr>
  </property>
  <property fmtid="{D5CDD505-2E9C-101B-9397-08002B2CF9AE}" pid="6" name="MSIP_Label_68bb13b3-d2c1-4719-a5eb-d2f829e5e9fa_Enabled">
    <vt:lpwstr>true</vt:lpwstr>
  </property>
  <property fmtid="{D5CDD505-2E9C-101B-9397-08002B2CF9AE}" pid="7" name="MSIP_Label_68bb13b3-d2c1-4719-a5eb-d2f829e5e9fa_SetDate">
    <vt:lpwstr>2025-07-11T09:55:05Z</vt:lpwstr>
  </property>
  <property fmtid="{D5CDD505-2E9C-101B-9397-08002B2CF9AE}" pid="8" name="MSIP_Label_68bb13b3-d2c1-4719-a5eb-d2f829e5e9fa_Method">
    <vt:lpwstr>Standard</vt:lpwstr>
  </property>
  <property fmtid="{D5CDD505-2E9C-101B-9397-08002B2CF9AE}" pid="9" name="MSIP_Label_68bb13b3-d2c1-4719-a5eb-d2f829e5e9fa_Name">
    <vt:lpwstr>Interno - Internal (ABC)</vt:lpwstr>
  </property>
  <property fmtid="{D5CDD505-2E9C-101B-9397-08002B2CF9AE}" pid="10" name="MSIP_Label_68bb13b3-d2c1-4719-a5eb-d2f829e5e9fa_SiteId">
    <vt:lpwstr>ea54e955-ce3f-4547-9304-1cd2b88557ab</vt:lpwstr>
  </property>
  <property fmtid="{D5CDD505-2E9C-101B-9397-08002B2CF9AE}" pid="11" name="MSIP_Label_68bb13b3-d2c1-4719-a5eb-d2f829e5e9fa_ActionId">
    <vt:lpwstr>36b589b0-e807-436f-9478-6d5b97dd7bd6</vt:lpwstr>
  </property>
  <property fmtid="{D5CDD505-2E9C-101B-9397-08002B2CF9AE}" pid="12" name="MSIP_Label_68bb13b3-d2c1-4719-a5eb-d2f829e5e9fa_ContentBits">
    <vt:lpwstr>2</vt:lpwstr>
  </property>
  <property fmtid="{D5CDD505-2E9C-101B-9397-08002B2CF9AE}" pid="13" name="MSIP_Label_68bb13b3-d2c1-4719-a5eb-d2f829e5e9fa_Tag">
    <vt:lpwstr>10, 3, 0, 1</vt:lpwstr>
  </property>
</Properties>
</file>