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11C4" w14:textId="77777777" w:rsidR="007C6CB0" w:rsidRDefault="007C6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435"/>
        <w:gridCol w:w="6450"/>
      </w:tblGrid>
      <w:tr w:rsidR="007C6CB0" w14:paraId="2E9C8EAA" w14:textId="77777777">
        <w:trPr>
          <w:trHeight w:val="567"/>
        </w:trPr>
        <w:tc>
          <w:tcPr>
            <w:tcW w:w="2415" w:type="dxa"/>
          </w:tcPr>
          <w:p w14:paraId="06558272" w14:textId="77777777" w:rsidR="007C6CB0" w:rsidRDefault="007C6CB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5" w:type="dxa"/>
          </w:tcPr>
          <w:p w14:paraId="1979F4A8" w14:textId="77777777" w:rsidR="007C6CB0" w:rsidRDefault="007C6CB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450" w:type="dxa"/>
          </w:tcPr>
          <w:p w14:paraId="76AB8F12" w14:textId="77777777" w:rsidR="007C6CB0" w:rsidRDefault="00AE190C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PRIOPĆENJE ZA MEDIJE</w:t>
            </w:r>
          </w:p>
        </w:tc>
      </w:tr>
      <w:tr w:rsidR="007C6CB0" w14:paraId="1C88A128" w14:textId="77777777">
        <w:tc>
          <w:tcPr>
            <w:tcW w:w="2415" w:type="dxa"/>
          </w:tcPr>
          <w:p w14:paraId="4719E39A" w14:textId="77777777" w:rsidR="007C6CB0" w:rsidRDefault="007C6CB0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73D6E9A" w14:textId="77777777" w:rsidR="007C6CB0" w:rsidRDefault="00AE190C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CC8ED01" wp14:editId="6338FFBA">
                  <wp:extent cx="223520" cy="228600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CB75D89" wp14:editId="418C17E0">
                  <wp:extent cx="223520" cy="228600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367CD4AD" wp14:editId="6DF7C4B1">
                  <wp:extent cx="223520" cy="2286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C8D3C1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570435E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5ED54616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6EEAB23" w14:textId="6D30BDE0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Datum: 1</w:t>
            </w:r>
            <w:r w:rsidR="003B4560">
              <w:rPr>
                <w:rFonts w:ascii="Trebuchet MS" w:eastAsia="Trebuchet MS" w:hAnsi="Trebuchet MS" w:cs="Trebuchet MS"/>
              </w:rPr>
              <w:t>5</w:t>
            </w:r>
            <w:r>
              <w:rPr>
                <w:rFonts w:ascii="Trebuchet MS" w:eastAsia="Trebuchet MS" w:hAnsi="Trebuchet MS" w:cs="Trebuchet MS"/>
              </w:rPr>
              <w:t xml:space="preserve">/7/2025 </w:t>
            </w:r>
          </w:p>
          <w:p w14:paraId="7D281BD4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06C0841D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Kantolić,</w:t>
            </w:r>
          </w:p>
          <w:p w14:paraId="2298F5D3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611B5659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70CC8519" w14:textId="77777777" w:rsidR="007C6CB0" w:rsidRDefault="00AE190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katarina.kantolic</w:t>
            </w:r>
            <w:proofErr w:type="spellEnd"/>
            <w:r>
              <w:rPr>
                <w:rFonts w:ascii="Trebuchet MS" w:eastAsia="Trebuchet MS" w:hAnsi="Trebuchet MS" w:cs="Trebuchet MS"/>
              </w:rPr>
              <w:t>@</w:t>
            </w:r>
            <w:r>
              <w:rPr>
                <w:rFonts w:ascii="Trebuchet MS" w:eastAsia="Trebuchet MS" w:hAnsi="Trebuchet MS" w:cs="Trebuchet MS"/>
              </w:rPr>
              <w:br/>
              <w:t>addiko.com</w:t>
            </w:r>
          </w:p>
          <w:p w14:paraId="711AF814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32AC1BF7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FB9A096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5F524367" w14:textId="77777777" w:rsidR="007C6CB0" w:rsidRDefault="00AE190C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71F0A6FF" w14:textId="77777777" w:rsidR="007C6CB0" w:rsidRDefault="007C6CB0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38438A03" w14:textId="77777777" w:rsidR="007C6CB0" w:rsidRDefault="00AE190C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121254DB" w14:textId="77777777" w:rsidR="007C6CB0" w:rsidRDefault="007C6CB0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644E1F23" w14:textId="77777777" w:rsidR="007C6CB0" w:rsidRDefault="00AE190C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240D69CB" w14:textId="77777777" w:rsidR="007C6CB0" w:rsidRDefault="007C6CB0">
            <w:pPr>
              <w:spacing w:line="200" w:lineRule="auto"/>
            </w:pPr>
          </w:p>
          <w:p w14:paraId="31A04FB0" w14:textId="77777777" w:rsidR="007C6CB0" w:rsidRDefault="00AE190C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 kreću u poduzetništvo. </w:t>
            </w:r>
          </w:p>
        </w:tc>
        <w:tc>
          <w:tcPr>
            <w:tcW w:w="435" w:type="dxa"/>
          </w:tcPr>
          <w:p w14:paraId="6E1DDC97" w14:textId="77777777" w:rsidR="007C6CB0" w:rsidRDefault="007C6CB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450" w:type="dxa"/>
          </w:tcPr>
          <w:p w14:paraId="0AA47BE7" w14:textId="0F556888" w:rsidR="007C6CB0" w:rsidRPr="000D2F8A" w:rsidRDefault="002D55EC">
            <w:pP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Građani mogu osvojiti tri prosječne hrvatske plaće uz </w:t>
            </w:r>
            <w:r w:rsidRPr="002D55EC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nagradni </w:t>
            </w:r>
            <w:r w:rsidRPr="004A0D0E">
              <w:rPr>
                <w:rFonts w:ascii="Trebuchet MS" w:eastAsia="Trebuchet MS" w:hAnsi="Trebuchet MS" w:cs="Trebuchet MS"/>
                <w:b/>
                <w:i/>
                <w:iCs/>
                <w:color w:val="EA415E"/>
                <w:sz w:val="48"/>
                <w:szCs w:val="48"/>
              </w:rPr>
              <w:t>online</w:t>
            </w:r>
            <w:r w:rsidRPr="002D55EC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 kviz „Glasno o novcu“</w:t>
            </w:r>
          </w:p>
          <w:p w14:paraId="0D6B4716" w14:textId="0E700D66" w:rsidR="002D55EC" w:rsidRDefault="002D55EC" w:rsidP="000D2F8A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Tri </w:t>
            </w:r>
            <w:r w:rsidR="001062DB">
              <w:rPr>
                <w:rFonts w:ascii="Trebuchet MS" w:eastAsia="Trebuchet MS" w:hAnsi="Trebuchet MS" w:cs="Trebuchet MS"/>
                <w:b/>
                <w:i/>
                <w:iCs/>
              </w:rPr>
              <w:t xml:space="preserve">mjeseca životnih troškova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>iznos su preporučenog kriznog fonda koji bi sva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>ki građanin trebao im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ati za takozvane „crne dane“. Osim što građani 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>imaju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 priliku osvojiti </w:t>
            </w:r>
            <w:r w:rsidR="007C7F72">
              <w:rPr>
                <w:rFonts w:ascii="Trebuchet MS" w:eastAsia="Trebuchet MS" w:hAnsi="Trebuchet MS" w:cs="Trebuchet MS"/>
                <w:b/>
                <w:i/>
                <w:iCs/>
              </w:rPr>
              <w:t>t</w:t>
            </w:r>
            <w:r w:rsidR="001062DB">
              <w:rPr>
                <w:rFonts w:ascii="Trebuchet MS" w:eastAsia="Trebuchet MS" w:hAnsi="Trebuchet MS" w:cs="Trebuchet MS"/>
                <w:b/>
                <w:i/>
                <w:iCs/>
              </w:rPr>
              <w:t>akvu</w:t>
            </w:r>
            <w:r w:rsidR="007C7F7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sumu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na nagradnom online kvizu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, </w:t>
            </w:r>
            <w:r w:rsidR="007C7F72">
              <w:rPr>
                <w:rFonts w:ascii="Trebuchet MS" w:eastAsia="Trebuchet MS" w:hAnsi="Trebuchet MS" w:cs="Trebuchet MS"/>
                <w:b/>
                <w:i/>
                <w:iCs/>
              </w:rPr>
              <w:t>krizni fond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 jedna </w:t>
            </w:r>
            <w:r w:rsidR="001062DB">
              <w:rPr>
                <w:rFonts w:ascii="Trebuchet MS" w:eastAsia="Trebuchet MS" w:hAnsi="Trebuchet MS" w:cs="Trebuchet MS"/>
                <w:b/>
                <w:i/>
                <w:iCs/>
              </w:rPr>
              <w:t xml:space="preserve">je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od glavnih tema za razgovor u sklopu </w:t>
            </w:r>
            <w:r w:rsidR="00EC1808">
              <w:rPr>
                <w:rFonts w:ascii="Trebuchet MS" w:eastAsia="Trebuchet MS" w:hAnsi="Trebuchet MS" w:cs="Trebuchet MS"/>
                <w:b/>
                <w:i/>
                <w:iCs/>
              </w:rPr>
              <w:t xml:space="preserve">društveno-odgovorne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kampanje </w:t>
            </w:r>
            <w:r w:rsidR="00EC1808">
              <w:rPr>
                <w:rFonts w:ascii="Trebuchet MS" w:eastAsia="Trebuchet MS" w:hAnsi="Trebuchet MS" w:cs="Trebuchet MS"/>
                <w:b/>
                <w:i/>
                <w:iCs/>
              </w:rPr>
              <w:t xml:space="preserve">Addiko banke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„Glasno o novcu“. 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>„</w:t>
            </w:r>
            <w:r w:rsidR="004A0D0E">
              <w:rPr>
                <w:rFonts w:ascii="Trebuchet MS" w:eastAsia="Trebuchet MS" w:hAnsi="Trebuchet MS" w:cs="Trebuchet MS"/>
                <w:b/>
                <w:i/>
                <w:iCs/>
              </w:rPr>
              <w:t>Sa</w:t>
            </w:r>
            <w:r w:rsidRPr="002D55EC">
              <w:rPr>
                <w:rFonts w:ascii="Trebuchet MS" w:eastAsia="Trebuchet MS" w:hAnsi="Trebuchet MS" w:cs="Trebuchet MS"/>
                <w:b/>
                <w:i/>
                <w:iCs/>
              </w:rPr>
              <w:t xml:space="preserve">mo 36 %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građana </w:t>
            </w:r>
            <w:r w:rsidR="004A0D0E">
              <w:rPr>
                <w:rFonts w:ascii="Trebuchet MS" w:eastAsia="Trebuchet MS" w:hAnsi="Trebuchet MS" w:cs="Trebuchet MS"/>
                <w:b/>
                <w:i/>
                <w:iCs/>
              </w:rPr>
              <w:t xml:space="preserve">Hrvatske </w:t>
            </w:r>
            <w:r w:rsidRPr="002D55EC">
              <w:rPr>
                <w:rFonts w:ascii="Trebuchet MS" w:eastAsia="Trebuchet MS" w:hAnsi="Trebuchet MS" w:cs="Trebuchet MS"/>
                <w:b/>
                <w:i/>
                <w:iCs/>
              </w:rPr>
              <w:t xml:space="preserve">redovito </w:t>
            </w:r>
            <w:r w:rsidR="004A0D0E">
              <w:rPr>
                <w:rFonts w:ascii="Trebuchet MS" w:eastAsia="Trebuchet MS" w:hAnsi="Trebuchet MS" w:cs="Trebuchet MS"/>
                <w:b/>
                <w:i/>
                <w:iCs/>
              </w:rPr>
              <w:t>priča</w:t>
            </w:r>
            <w:r w:rsidRPr="002D55EC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o 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>novcu sa svojim bliskim osobama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>,</w:t>
            </w:r>
            <w:r w:rsidR="007C7F7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</w:t>
            </w:r>
            <w:r w:rsidR="004A0D0E">
              <w:rPr>
                <w:rFonts w:ascii="Trebuchet MS" w:eastAsia="Trebuchet MS" w:hAnsi="Trebuchet MS" w:cs="Trebuchet MS"/>
                <w:b/>
                <w:i/>
                <w:iCs/>
              </w:rPr>
              <w:t>stoga je ovaj nagradni kviz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 </w:t>
            </w:r>
            <w:r w:rsidR="004A0D0E">
              <w:rPr>
                <w:rFonts w:ascii="Trebuchet MS" w:eastAsia="Trebuchet MS" w:hAnsi="Trebuchet MS" w:cs="Trebuchet MS"/>
                <w:b/>
                <w:i/>
                <w:iCs/>
              </w:rPr>
              <w:t>poticaj na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 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 xml:space="preserve">financijski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>dijalog</w:t>
            </w:r>
            <w:r w:rsidR="003C6A26">
              <w:rPr>
                <w:rFonts w:ascii="Trebuchet MS" w:eastAsia="Trebuchet MS" w:hAnsi="Trebuchet MS" w:cs="Trebuchet MS"/>
                <w:b/>
                <w:i/>
                <w:iCs/>
              </w:rPr>
              <w:t>“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>,</w:t>
            </w:r>
            <w:r w:rsidRPr="002D55EC">
              <w:rPr>
                <w:rFonts w:ascii="Trebuchet MS" w:eastAsia="Trebuchet MS" w:hAnsi="Trebuchet MS" w:cs="Trebuchet MS"/>
                <w:b/>
              </w:rPr>
              <w:t xml:space="preserve"> izjavila je Petra Bašić Jantolić, izvršna direktorica Razvoja poslovanja s klijentima u Addiko banci.</w:t>
            </w:r>
          </w:p>
          <w:p w14:paraId="0762F81E" w14:textId="609125DF" w:rsidR="007C7F72" w:rsidRDefault="003C6A26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Kviz je o</w:t>
            </w:r>
            <w:r w:rsidR="007C7F72">
              <w:rPr>
                <w:rFonts w:ascii="Trebuchet MS" w:eastAsia="Trebuchet MS" w:hAnsi="Trebuchet MS" w:cs="Trebuchet MS"/>
              </w:rPr>
              <w:t>smišljen kako bi na pristupačan i zabavan način potaknuo razgovor o financijama te povećao razinu financijske pismenosti među građanima. Tri glavne nagrade su iznosi koji odgovaraju preporučenom osobnom kriznom fondu odnosno trima prosječnim hrvatskim plaćama</w:t>
            </w:r>
            <w:r w:rsidR="00BB26F6">
              <w:rPr>
                <w:rFonts w:ascii="Trebuchet MS" w:eastAsia="Trebuchet MS" w:hAnsi="Trebuchet MS" w:cs="Trebuchet MS"/>
              </w:rPr>
              <w:t xml:space="preserve">. Drugim riječima, dijeli se </w:t>
            </w:r>
            <w:r w:rsidR="007C7F72">
              <w:rPr>
                <w:rFonts w:ascii="Trebuchet MS" w:eastAsia="Trebuchet MS" w:hAnsi="Trebuchet MS" w:cs="Trebuchet MS"/>
              </w:rPr>
              <w:t>tri puta po 4.3</w:t>
            </w:r>
            <w:r>
              <w:rPr>
                <w:rFonts w:ascii="Trebuchet MS" w:eastAsia="Trebuchet MS" w:hAnsi="Trebuchet MS" w:cs="Trebuchet MS"/>
              </w:rPr>
              <w:t>4</w:t>
            </w:r>
            <w:r w:rsidR="007C7F72">
              <w:rPr>
                <w:rFonts w:ascii="Trebuchet MS" w:eastAsia="Trebuchet MS" w:hAnsi="Trebuchet MS" w:cs="Trebuchet MS"/>
              </w:rPr>
              <w:t>4 eura</w:t>
            </w:r>
            <w:r w:rsidR="00BB26F6">
              <w:rPr>
                <w:rFonts w:ascii="Trebuchet MS" w:eastAsia="Trebuchet MS" w:hAnsi="Trebuchet MS" w:cs="Trebuchet MS"/>
              </w:rPr>
              <w:t>.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Kviz je dostupan je do 31. kolovoza 2025. godine </w:t>
            </w:r>
            <w:r w:rsidRPr="005A6353">
              <w:rPr>
                <w:rFonts w:ascii="Trebuchet MS" w:eastAsia="Trebuchet MS" w:hAnsi="Trebuchet MS" w:cs="Trebuchet MS"/>
                <w:b/>
                <w:bCs/>
              </w:rPr>
              <w:t>na službenim stranicama Addiko banke (</w:t>
            </w:r>
            <w:hyperlink r:id="rId11" w:history="1">
              <w:r w:rsidRPr="005A6353">
                <w:rPr>
                  <w:rStyle w:val="Hyperlink"/>
                  <w:rFonts w:ascii="Trebuchet MS" w:eastAsia="Trebuchet MS" w:hAnsi="Trebuchet MS" w:cs="Trebuchet MS"/>
                  <w:b/>
                  <w:bCs/>
                </w:rPr>
                <w:t>Addiko rođendanska nagradna igra - Addiko Bank Hrvatska</w:t>
              </w:r>
            </w:hyperlink>
            <w:r w:rsidRPr="005A6353">
              <w:rPr>
                <w:rFonts w:ascii="Trebuchet MS" w:eastAsia="Trebuchet MS" w:hAnsi="Trebuchet MS" w:cs="Trebuchet MS"/>
                <w:b/>
                <w:bCs/>
              </w:rPr>
              <w:t>).</w:t>
            </w:r>
          </w:p>
          <w:p w14:paraId="1EBBB677" w14:textId="77777777" w:rsidR="007C7F72" w:rsidRDefault="007C7F72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0F3731D1" w14:textId="6725BFA6" w:rsidR="00B35AF1" w:rsidRDefault="004A0D0E" w:rsidP="00B35AF1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Umjesto kompleksnih pojmova koji se često povezuju s financijama, kampanja </w:t>
            </w:r>
            <w:r w:rsidRPr="00B35AF1">
              <w:rPr>
                <w:rFonts w:ascii="Trebuchet MS" w:eastAsia="Trebuchet MS" w:hAnsi="Trebuchet MS" w:cs="Trebuchet MS"/>
                <w:b/>
                <w:bCs/>
              </w:rPr>
              <w:t>„Glasno o novcu“</w:t>
            </w:r>
            <w:r>
              <w:rPr>
                <w:rFonts w:ascii="Trebuchet MS" w:eastAsia="Trebuchet MS" w:hAnsi="Trebuchet MS" w:cs="Trebuchet MS"/>
              </w:rPr>
              <w:t xml:space="preserve"> uvodi i popularnu kulturu. </w:t>
            </w:r>
            <w:r w:rsidR="00B35AF1">
              <w:rPr>
                <w:rFonts w:ascii="Trebuchet MS" w:eastAsia="Trebuchet MS" w:hAnsi="Trebuchet MS" w:cs="Trebuchet MS"/>
              </w:rPr>
              <w:t xml:space="preserve">Tako se i u kvizu, između ostalog, traže filmovi i serije povezane s novcem, dok je sama kampanja </w:t>
            </w:r>
            <w:r w:rsidR="00AE190C">
              <w:rPr>
                <w:rFonts w:ascii="Trebuchet MS" w:eastAsia="Trebuchet MS" w:hAnsi="Trebuchet MS" w:cs="Trebuchet MS"/>
              </w:rPr>
              <w:t>temelj</w:t>
            </w:r>
            <w:r w:rsidR="00B35AF1">
              <w:rPr>
                <w:rFonts w:ascii="Trebuchet MS" w:eastAsia="Trebuchet MS" w:hAnsi="Trebuchet MS" w:cs="Trebuchet MS"/>
              </w:rPr>
              <w:t>ena</w:t>
            </w:r>
            <w:r w:rsidR="00AE190C">
              <w:rPr>
                <w:rFonts w:ascii="Trebuchet MS" w:eastAsia="Trebuchet MS" w:hAnsi="Trebuchet MS" w:cs="Trebuchet MS"/>
              </w:rPr>
              <w:t xml:space="preserve"> na rezultatima istraživanja o financijskim navikama i stavovima građana</w:t>
            </w:r>
            <w:r w:rsidR="00B35AF1">
              <w:rPr>
                <w:rFonts w:ascii="Trebuchet MS" w:eastAsia="Trebuchet MS" w:hAnsi="Trebuchet MS" w:cs="Trebuchet MS"/>
              </w:rPr>
              <w:t xml:space="preserve">. Čak 71 % građana prepoznaje novac kao tabu temu i povezuje ga s osjećajima srama i zavisti. </w:t>
            </w:r>
            <w:hyperlink r:id="rId12" w:history="1">
              <w:r w:rsidR="00B35AF1" w:rsidRPr="00B35AF1">
                <w:rPr>
                  <w:rStyle w:val="Hyperlink"/>
                  <w:rFonts w:ascii="Trebuchet MS" w:eastAsia="Trebuchet MS" w:hAnsi="Trebuchet MS" w:cs="Trebuchet MS"/>
                  <w:b/>
                  <w:bCs/>
                </w:rPr>
                <w:t>Glasno o novcu</w:t>
              </w:r>
            </w:hyperlink>
            <w:r w:rsidR="00B35AF1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B35AF1" w:rsidRPr="00B35AF1">
              <w:rPr>
                <w:rFonts w:ascii="Trebuchet MS" w:eastAsia="Trebuchet MS" w:hAnsi="Trebuchet MS" w:cs="Trebuchet MS"/>
              </w:rPr>
              <w:t>zato postaje platforma koja</w:t>
            </w:r>
            <w:r w:rsidR="00B35AF1">
              <w:rPr>
                <w:rFonts w:ascii="Trebuchet MS" w:eastAsia="Trebuchet MS" w:hAnsi="Trebuchet MS" w:cs="Trebuchet MS"/>
              </w:rPr>
              <w:t xml:space="preserve"> </w:t>
            </w:r>
            <w:r w:rsidR="00AE190C">
              <w:rPr>
                <w:rFonts w:ascii="Trebuchet MS" w:eastAsia="Trebuchet MS" w:hAnsi="Trebuchet MS" w:cs="Trebuchet MS"/>
              </w:rPr>
              <w:t xml:space="preserve">potiče otvoren i iskren razgovor o </w:t>
            </w:r>
            <w:r w:rsidR="00B35AF1">
              <w:rPr>
                <w:rFonts w:ascii="Trebuchet MS" w:eastAsia="Trebuchet MS" w:hAnsi="Trebuchet MS" w:cs="Trebuchet MS"/>
              </w:rPr>
              <w:t>financijama</w:t>
            </w:r>
            <w:r w:rsidR="00AE190C">
              <w:rPr>
                <w:rFonts w:ascii="Trebuchet MS" w:eastAsia="Trebuchet MS" w:hAnsi="Trebuchet MS" w:cs="Trebuchet MS"/>
              </w:rPr>
              <w:t xml:space="preserve"> – u obitelji, među partnerima i u društvu općenito. </w:t>
            </w:r>
          </w:p>
          <w:p w14:paraId="462C0AA1" w14:textId="77777777" w:rsidR="00B35AF1" w:rsidRDefault="00B35AF1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2F8479DA" w14:textId="7D208D03" w:rsidR="007C6CB0" w:rsidRDefault="00AE190C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Addiko banka se u 2025. godini obvezala da će kontinuiranim </w:t>
            </w:r>
            <w:r w:rsidR="003C6A26">
              <w:rPr>
                <w:rFonts w:ascii="Trebuchet MS" w:eastAsia="Trebuchet MS" w:hAnsi="Trebuchet MS" w:cs="Trebuchet MS"/>
              </w:rPr>
              <w:t xml:space="preserve">djelovanjem u </w:t>
            </w:r>
            <w:r>
              <w:rPr>
                <w:rFonts w:ascii="Trebuchet MS" w:eastAsia="Trebuchet MS" w:hAnsi="Trebuchet MS" w:cs="Trebuchet MS"/>
              </w:rPr>
              <w:t xml:space="preserve">javnom prostoru utjecati na povećanje postotka građana </w:t>
            </w:r>
            <w:r>
              <w:rPr>
                <w:rFonts w:ascii="Trebuchet MS" w:eastAsia="Trebuchet MS" w:hAnsi="Trebuchet MS" w:cs="Trebuchet MS"/>
              </w:rPr>
              <w:lastRenderedPageBreak/>
              <w:t>Hrvatske koji redovito razgovaraju o novcu s trenut</w:t>
            </w:r>
            <w:r w:rsidR="00587BE0">
              <w:rPr>
                <w:rFonts w:ascii="Trebuchet MS" w:eastAsia="Trebuchet MS" w:hAnsi="Trebuchet MS" w:cs="Trebuchet MS"/>
              </w:rPr>
              <w:t>ač</w:t>
            </w:r>
            <w:r>
              <w:rPr>
                <w:rFonts w:ascii="Trebuchet MS" w:eastAsia="Trebuchet MS" w:hAnsi="Trebuchet MS" w:cs="Trebuchet MS"/>
              </w:rPr>
              <w:t>nih 36 % na 56 % do 2028. godine.</w:t>
            </w:r>
          </w:p>
          <w:p w14:paraId="563793C3" w14:textId="5879A019" w:rsidR="000D2F8A" w:rsidRPr="007C7F72" w:rsidRDefault="00AE190C" w:rsidP="007C7F72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Više informacija o kampanji Glasno o novcu saznajte na linku: </w:t>
            </w:r>
            <w:hyperlink r:id="rId13">
              <w:r w:rsidR="000D2F8A"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https://www.addiko.hr/glasno-o-novcu/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</w:t>
            </w:r>
            <w:bookmarkStart w:id="0" w:name="_Hlk203047193"/>
          </w:p>
          <w:bookmarkEnd w:id="0"/>
          <w:p w14:paraId="0843650F" w14:textId="77777777" w:rsidR="000D2F8A" w:rsidRDefault="000D2F8A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</w:tbl>
    <w:p w14:paraId="409B318E" w14:textId="77777777" w:rsidR="007C6CB0" w:rsidRDefault="007C6CB0">
      <w:pPr>
        <w:rPr>
          <w:rFonts w:ascii="Trebuchet MS" w:eastAsia="Trebuchet MS" w:hAnsi="Trebuchet MS" w:cs="Trebuchet MS"/>
        </w:rPr>
      </w:pPr>
    </w:p>
    <w:sectPr w:rsidR="007C6C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3D14" w14:textId="77777777" w:rsidR="003247F8" w:rsidRDefault="003247F8">
      <w:pPr>
        <w:spacing w:after="0" w:line="240" w:lineRule="auto"/>
      </w:pPr>
      <w:r>
        <w:separator/>
      </w:r>
    </w:p>
  </w:endnote>
  <w:endnote w:type="continuationSeparator" w:id="0">
    <w:p w14:paraId="588F5A83" w14:textId="77777777" w:rsidR="003247F8" w:rsidRDefault="0032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rlie Pro Me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22AD" w14:textId="2FDBF7AF" w:rsidR="007C6CB0" w:rsidRDefault="00190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B9B64A" wp14:editId="5573AE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583861825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23262" w14:textId="7A03946B" w:rsidR="00190D84" w:rsidRPr="00190D84" w:rsidRDefault="00190D84" w:rsidP="00190D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0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9B6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256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" filled="f" stroked="f">
              <v:textbox style="mso-fit-shape-to-text:t" inset="0,0,0,15pt">
                <w:txbxContent>
                  <w:p w14:paraId="2A723262" w14:textId="7A03946B" w:rsidR="00190D84" w:rsidRPr="00190D84" w:rsidRDefault="00190D84" w:rsidP="00190D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0D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226B" w14:textId="43D23980" w:rsidR="007C6CB0" w:rsidRDefault="00190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F4CCEC" wp14:editId="5668590B">
              <wp:simplePos x="53975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663978754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CD038" w14:textId="2FECB442" w:rsidR="00190D84" w:rsidRPr="00190D84" w:rsidRDefault="00190D84" w:rsidP="00190D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0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4C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256.0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" filled="f" stroked="f">
              <v:textbox style="mso-fit-shape-to-text:t" inset="0,0,0,15pt">
                <w:txbxContent>
                  <w:p w14:paraId="199CD038" w14:textId="2FECB442" w:rsidR="00190D84" w:rsidRPr="00190D84" w:rsidRDefault="00190D84" w:rsidP="00190D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0D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E826" w14:textId="5185BD19" w:rsidR="007C6CB0" w:rsidRDefault="00190D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B44C90" wp14:editId="3D0D07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827592764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B6201" w14:textId="6CBB8AC4" w:rsidR="00190D84" w:rsidRPr="00190D84" w:rsidRDefault="00190D84" w:rsidP="00190D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90D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44C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256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" filled="f" stroked="f">
              <v:textbox style="mso-fit-shape-to-text:t" inset="0,0,0,15pt">
                <w:txbxContent>
                  <w:p w14:paraId="410B6201" w14:textId="6CBB8AC4" w:rsidR="00190D84" w:rsidRPr="00190D84" w:rsidRDefault="00190D84" w:rsidP="00190D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90D8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9198" w14:textId="77777777" w:rsidR="003247F8" w:rsidRDefault="003247F8">
      <w:pPr>
        <w:spacing w:after="0" w:line="240" w:lineRule="auto"/>
      </w:pPr>
      <w:r>
        <w:separator/>
      </w:r>
    </w:p>
  </w:footnote>
  <w:footnote w:type="continuationSeparator" w:id="0">
    <w:p w14:paraId="03FF23B5" w14:textId="77777777" w:rsidR="003247F8" w:rsidRDefault="0032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8812" w14:textId="77777777" w:rsidR="007C6CB0" w:rsidRDefault="007C6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9A71" w14:textId="77777777" w:rsidR="007C6CB0" w:rsidRDefault="00AE19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0404B5" wp14:editId="3C3563B4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0" b="0"/>
          <wp:wrapNone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A4C0" w14:textId="77777777" w:rsidR="007C6CB0" w:rsidRDefault="007C6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86E9F"/>
    <w:multiLevelType w:val="multilevel"/>
    <w:tmpl w:val="421482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11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B0"/>
    <w:rsid w:val="000215A7"/>
    <w:rsid w:val="000D2F8A"/>
    <w:rsid w:val="000D35A3"/>
    <w:rsid w:val="001062DB"/>
    <w:rsid w:val="00167855"/>
    <w:rsid w:val="0018564B"/>
    <w:rsid w:val="00190D84"/>
    <w:rsid w:val="001A31EF"/>
    <w:rsid w:val="00256D4A"/>
    <w:rsid w:val="002C0E90"/>
    <w:rsid w:val="002D55EC"/>
    <w:rsid w:val="003247F8"/>
    <w:rsid w:val="00356786"/>
    <w:rsid w:val="003B4560"/>
    <w:rsid w:val="003C6A26"/>
    <w:rsid w:val="0044148E"/>
    <w:rsid w:val="004A0D0E"/>
    <w:rsid w:val="004C428A"/>
    <w:rsid w:val="00505E1A"/>
    <w:rsid w:val="00587BE0"/>
    <w:rsid w:val="005A6353"/>
    <w:rsid w:val="00774B95"/>
    <w:rsid w:val="00791DBF"/>
    <w:rsid w:val="007C6CB0"/>
    <w:rsid w:val="007C7F72"/>
    <w:rsid w:val="00820388"/>
    <w:rsid w:val="00884AA1"/>
    <w:rsid w:val="008F7D23"/>
    <w:rsid w:val="009A1C93"/>
    <w:rsid w:val="00A035FA"/>
    <w:rsid w:val="00A41D09"/>
    <w:rsid w:val="00AE190C"/>
    <w:rsid w:val="00B20D09"/>
    <w:rsid w:val="00B35AF1"/>
    <w:rsid w:val="00BB26F6"/>
    <w:rsid w:val="00C12967"/>
    <w:rsid w:val="00C92123"/>
    <w:rsid w:val="00DF1FFA"/>
    <w:rsid w:val="00EC1808"/>
    <w:rsid w:val="00E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A37A6"/>
  <w15:docId w15:val="{9F58F2B5-6B2F-417C-BD09-3E3FB74C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lie Pro Med" w:eastAsia="Charlie Pro Med" w:hAnsi="Charlie Pro Med" w:cs="Charlie Pro Med"/>
        <w:color w:val="002339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rFonts w:ascii="Charlie Pro Bld" w:eastAsia="Charlie Pro Bld" w:hAnsi="Charlie Pro Bld" w:cs="Charlie Pro Bld"/>
      <w:color w:val="EA415E"/>
      <w:sz w:val="48"/>
      <w:szCs w:val="4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28A"/>
    <w:rPr>
      <w:rFonts w:ascii="Charlie Pro Med" w:eastAsia="Charlie Pro Med" w:hAnsi="Charlie Pro Med" w:cs="Charlie Pro Med"/>
      <w:b/>
      <w:bCs/>
      <w:color w:val="002339"/>
      <w:lang w:val="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28A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3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diko.hr/glasno-o-novc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ddiko.hr/glasno-o-novc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diko.hr/gradanstvo/addiko-rodendanska-nagradna-igr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f8JsO/V7TY16ALU0N31dA5PvQ==">CgMxLjA4AHIhMUE2S1h2U3lxcGJkaWdYejgyeEFHNUw1dzV0YWlmNG03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2363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dc:description>Classification blank by: katarik3</dc:description>
  <cp:lastModifiedBy>Katarina Kantolić (Addiko Croatia)</cp:lastModifiedBy>
  <cp:revision>4</cp:revision>
  <dcterms:created xsi:type="dcterms:W3CDTF">2025-07-15T06:26:00Z</dcterms:created>
  <dcterms:modified xsi:type="dcterms:W3CDTF">2025-07-15T06:37:00Z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d49ee71f-684c-4ca6-a071-90c6a1cda695</vt:lpwstr>
  </property>
  <property fmtid="{D5CDD505-2E9C-101B-9397-08002B2CF9AE}" pid="3" name="ClassificationContentMarkingFooterShapeIds">
    <vt:lpwstr>3154103c,22cd0641,27938302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Klasa povjerljivosti / Confidentiality class: INTERNO / INTERNAL</vt:lpwstr>
  </property>
  <property fmtid="{D5CDD505-2E9C-101B-9397-08002B2CF9AE}" pid="6" name="MSIP_Label_68bb13b3-d2c1-4719-a5eb-d2f829e5e9fa_Enabled">
    <vt:lpwstr>true</vt:lpwstr>
  </property>
  <property fmtid="{D5CDD505-2E9C-101B-9397-08002B2CF9AE}" pid="7" name="MSIP_Label_68bb13b3-d2c1-4719-a5eb-d2f829e5e9fa_SetDate">
    <vt:lpwstr>2025-07-10T12:55:06Z</vt:lpwstr>
  </property>
  <property fmtid="{D5CDD505-2E9C-101B-9397-08002B2CF9AE}" pid="8" name="MSIP_Label_68bb13b3-d2c1-4719-a5eb-d2f829e5e9fa_Method">
    <vt:lpwstr>Standard</vt:lpwstr>
  </property>
  <property fmtid="{D5CDD505-2E9C-101B-9397-08002B2CF9AE}" pid="9" name="MSIP_Label_68bb13b3-d2c1-4719-a5eb-d2f829e5e9fa_Name">
    <vt:lpwstr>Interno - Internal (ABC)</vt:lpwstr>
  </property>
  <property fmtid="{D5CDD505-2E9C-101B-9397-08002B2CF9AE}" pid="10" name="MSIP_Label_68bb13b3-d2c1-4719-a5eb-d2f829e5e9fa_SiteId">
    <vt:lpwstr>ea54e955-ce3f-4547-9304-1cd2b88557ab</vt:lpwstr>
  </property>
  <property fmtid="{D5CDD505-2E9C-101B-9397-08002B2CF9AE}" pid="11" name="MSIP_Label_68bb13b3-d2c1-4719-a5eb-d2f829e5e9fa_ActionId">
    <vt:lpwstr>a98be0fd-a814-451a-be06-483f5d4e24c7</vt:lpwstr>
  </property>
  <property fmtid="{D5CDD505-2E9C-101B-9397-08002B2CF9AE}" pid="12" name="MSIP_Label_68bb13b3-d2c1-4719-a5eb-d2f829e5e9fa_ContentBits">
    <vt:lpwstr>2</vt:lpwstr>
  </property>
  <property fmtid="{D5CDD505-2E9C-101B-9397-08002B2CF9AE}" pid="13" name="MSIP_Label_68bb13b3-d2c1-4719-a5eb-d2f829e5e9fa_Tag">
    <vt:lpwstr>10, 3, 0, 1</vt:lpwstr>
  </property>
</Properties>
</file>