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CE012" w14:textId="77777777" w:rsidR="007626D0" w:rsidRDefault="00762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525"/>
        <w:gridCol w:w="6360"/>
      </w:tblGrid>
      <w:tr w:rsidR="007626D0" w14:paraId="38D25476" w14:textId="77777777">
        <w:trPr>
          <w:trHeight w:val="567"/>
        </w:trPr>
        <w:tc>
          <w:tcPr>
            <w:tcW w:w="2415" w:type="dxa"/>
          </w:tcPr>
          <w:p w14:paraId="288CD5D4" w14:textId="77777777" w:rsidR="007626D0" w:rsidRDefault="007626D0">
            <w:pPr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25" w:type="dxa"/>
          </w:tcPr>
          <w:p w14:paraId="3DF3DDD6" w14:textId="77777777" w:rsidR="007626D0" w:rsidRDefault="007626D0">
            <w:pPr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6360" w:type="dxa"/>
          </w:tcPr>
          <w:p w14:paraId="4F9240F2" w14:textId="77777777" w:rsidR="007626D0" w:rsidRDefault="00851CFD">
            <w:pPr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Addiko banka pomaže građanima prepoznati financijske prijetnje</w:t>
            </w:r>
          </w:p>
        </w:tc>
      </w:tr>
      <w:tr w:rsidR="007626D0" w14:paraId="151FDB32" w14:textId="77777777">
        <w:tc>
          <w:tcPr>
            <w:tcW w:w="2415" w:type="dxa"/>
          </w:tcPr>
          <w:p w14:paraId="77FF16D2" w14:textId="77777777" w:rsidR="007626D0" w:rsidRDefault="007626D0">
            <w:pPr>
              <w:jc w:val="both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101B5BF8" w14:textId="77777777" w:rsidR="007626D0" w:rsidRDefault="00851CFD">
            <w:pPr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708A2436" wp14:editId="7E9C30C3">
                  <wp:extent cx="223520" cy="228600"/>
                  <wp:effectExtent l="0" t="0" r="0" b="0"/>
                  <wp:docPr id="16759349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</w:rPr>
              <w:t xml:space="preserve">   </w:t>
            </w:r>
            <w:r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4907B76E" wp14:editId="4814C3EA">
                  <wp:extent cx="223520" cy="228600"/>
                  <wp:effectExtent l="0" t="0" r="0" b="0"/>
                  <wp:docPr id="167593491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</w:rPr>
              <w:t xml:space="preserve">   </w:t>
            </w:r>
            <w:r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5FACB063" wp14:editId="7EF7B1A2">
                  <wp:extent cx="223520" cy="228600"/>
                  <wp:effectExtent l="0" t="0" r="0" b="0"/>
                  <wp:docPr id="16759349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4A3FF4E" w14:textId="77777777" w:rsidR="007626D0" w:rsidRDefault="007626D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22860E62" w14:textId="77777777" w:rsidR="007626D0" w:rsidRDefault="007626D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0BE27E2D" w14:textId="77777777" w:rsidR="007626D0" w:rsidRDefault="007626D0">
            <w:pPr>
              <w:jc w:val="both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0B0F3D26" w14:textId="31676158" w:rsidR="007626D0" w:rsidRDefault="00851CFD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Datum: </w:t>
            </w:r>
            <w:r w:rsidR="005222F5">
              <w:rPr>
                <w:rFonts w:ascii="Trebuchet MS" w:eastAsia="Trebuchet MS" w:hAnsi="Trebuchet MS" w:cs="Trebuchet MS"/>
              </w:rPr>
              <w:t>6</w:t>
            </w:r>
            <w:r>
              <w:rPr>
                <w:rFonts w:ascii="Trebuchet MS" w:eastAsia="Trebuchet MS" w:hAnsi="Trebuchet MS" w:cs="Trebuchet MS"/>
              </w:rPr>
              <w:t xml:space="preserve">/11/2024 </w:t>
            </w:r>
          </w:p>
          <w:p w14:paraId="62A98224" w14:textId="77777777" w:rsidR="007626D0" w:rsidRDefault="00851CFD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Kontakt: </w:t>
            </w:r>
          </w:p>
          <w:p w14:paraId="1BF286C8" w14:textId="77777777" w:rsidR="007626D0" w:rsidRDefault="00851CFD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Katarina Kantolić</w:t>
            </w:r>
          </w:p>
          <w:p w14:paraId="4229691E" w14:textId="77777777" w:rsidR="007626D0" w:rsidRDefault="00851CFD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menadžer Korporativnih komunikacija</w:t>
            </w:r>
          </w:p>
          <w:p w14:paraId="49B28228" w14:textId="77777777" w:rsidR="007626D0" w:rsidRDefault="00851CFD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091 4978 027</w:t>
            </w:r>
          </w:p>
          <w:p w14:paraId="603825B3" w14:textId="77777777" w:rsidR="007626D0" w:rsidRDefault="0048255C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hyperlink r:id="rId11">
              <w:r w:rsidR="00851CFD">
                <w:rPr>
                  <w:rFonts w:ascii="Trebuchet MS" w:eastAsia="Trebuchet MS" w:hAnsi="Trebuchet MS" w:cs="Trebuchet MS"/>
                  <w:color w:val="1155CC"/>
                  <w:u w:val="single"/>
                </w:rPr>
                <w:t>katarina.kantolic@addiko.com</w:t>
              </w:r>
            </w:hyperlink>
          </w:p>
          <w:p w14:paraId="650B36D1" w14:textId="77777777" w:rsidR="007626D0" w:rsidRDefault="007626D0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7A42D440" w14:textId="77777777" w:rsidR="007626D0" w:rsidRDefault="007626D0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70D5A3C4" w14:textId="77777777" w:rsidR="007626D0" w:rsidRDefault="007626D0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4EF8949B" w14:textId="77777777" w:rsidR="007626D0" w:rsidRDefault="00851CFD">
            <w:pPr>
              <w:rPr>
                <w:rFonts w:ascii="Trebuchet MS" w:eastAsia="Trebuchet MS" w:hAnsi="Trebuchet MS" w:cs="Trebuchet MS"/>
                <w:b/>
                <w:color w:val="EA415E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EA415E"/>
                <w:sz w:val="16"/>
                <w:szCs w:val="16"/>
              </w:rPr>
              <w:t>O Addiko Bank d.d.</w:t>
            </w:r>
          </w:p>
          <w:p w14:paraId="3169E8A2" w14:textId="77777777" w:rsidR="007626D0" w:rsidRDefault="007626D0">
            <w:pP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</w:p>
          <w:p w14:paraId="470E5F06" w14:textId="77777777" w:rsidR="007626D0" w:rsidRDefault="00851CFD">
            <w:pPr>
              <w:spacing w:line="200" w:lineRule="auto"/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 xml:space="preserve">Addiko je specijalistička banka za građane te mala i srednja poduzeća, fokusirana na brzo i jednostavno kreditiranje i moderne usluge plaćanja. </w:t>
            </w:r>
          </w:p>
          <w:p w14:paraId="0D6050A9" w14:textId="77777777" w:rsidR="007626D0" w:rsidRDefault="007626D0">
            <w:pPr>
              <w:spacing w:line="200" w:lineRule="auto"/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</w:p>
          <w:p w14:paraId="430310F3" w14:textId="77777777" w:rsidR="007626D0" w:rsidRDefault="00851CFD">
            <w:pPr>
              <w:spacing w:line="200" w:lineRule="auto"/>
            </w:pPr>
            <w: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>Addiko Bank d.d. je u vlasništvu Addiko Bank AG i dio je međunarodne bankarske grupacije prisutne u pet zemalja. Addiko Bank AG izlistana je na Bečkoj burzi od 2019. godine.</w:t>
            </w:r>
            <w:r>
              <w:t xml:space="preserve"> </w:t>
            </w:r>
          </w:p>
          <w:p w14:paraId="67AE24E6" w14:textId="77777777" w:rsidR="007626D0" w:rsidRDefault="007626D0">
            <w:pPr>
              <w:spacing w:line="200" w:lineRule="auto"/>
            </w:pPr>
          </w:p>
          <w:p w14:paraId="1ECA779B" w14:textId="77777777" w:rsidR="007626D0" w:rsidRDefault="00851CFD">
            <w:pPr>
              <w:spacing w:line="20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 xml:space="preserve">Addiko teži pozicioniranju kao banka koja razvija inovativna, digitalna bankarska rješenja. Spremna je podijeliti svoja znanja sa zajednicom te podržati projekte kojima se poboljšava digitalna i financijska pismenost, posebno među mladima koji se tek spremaju za upravljanje osobnim financijama i kreću u poduzetništvo. </w:t>
            </w:r>
          </w:p>
        </w:tc>
        <w:tc>
          <w:tcPr>
            <w:tcW w:w="525" w:type="dxa"/>
          </w:tcPr>
          <w:p w14:paraId="585B25F0" w14:textId="77777777" w:rsidR="007626D0" w:rsidRDefault="007626D0">
            <w:pPr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6360" w:type="dxa"/>
          </w:tcPr>
          <w:p w14:paraId="3BCB3D9B" w14:textId="77777777" w:rsidR="007626D0" w:rsidRDefault="00851CFD">
            <w:pPr>
              <w:rPr>
                <w:rFonts w:ascii="Trebuchet MS" w:eastAsia="Trebuchet MS" w:hAnsi="Trebuchet MS" w:cs="Trebuchet MS"/>
                <w:b/>
                <w:color w:val="EA415E"/>
                <w:sz w:val="44"/>
                <w:szCs w:val="44"/>
              </w:rPr>
            </w:pPr>
            <w:r>
              <w:rPr>
                <w:rFonts w:ascii="Trebuchet MS" w:eastAsia="Trebuchet MS" w:hAnsi="Trebuchet MS" w:cs="Trebuchet MS"/>
                <w:b/>
                <w:color w:val="EA415E"/>
                <w:sz w:val="44"/>
                <w:szCs w:val="44"/>
              </w:rPr>
              <w:t>Istraživanje u Hrvatskoj pokazalo kako je polovica ispitanika doživjela neki oblik pokušaja financijske prijevare</w:t>
            </w:r>
          </w:p>
          <w:p w14:paraId="7F073FD7" w14:textId="65164A44" w:rsidR="007626D0" w:rsidRDefault="00851CFD">
            <w:pPr>
              <w:spacing w:before="240" w:after="240" w:line="276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i/>
              </w:rPr>
              <w:t>„S razvojem tehnologije i pokušaji financijskih prijevara sve su češći i sofisticiraniji. 8</w:t>
            </w:r>
            <w:r w:rsidR="00D56970">
              <w:rPr>
                <w:rFonts w:ascii="Trebuchet MS" w:eastAsia="Trebuchet MS" w:hAnsi="Trebuchet MS" w:cs="Trebuchet MS"/>
                <w:b/>
                <w:i/>
              </w:rPr>
              <w:t>3</w:t>
            </w:r>
            <w:r w:rsidR="0003655D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i/>
              </w:rPr>
              <w:t xml:space="preserve">% </w:t>
            </w:r>
            <w:r w:rsidR="0003655D">
              <w:rPr>
                <w:rFonts w:ascii="Trebuchet MS" w:eastAsia="Trebuchet MS" w:hAnsi="Trebuchet MS" w:cs="Trebuchet MS"/>
                <w:b/>
                <w:i/>
              </w:rPr>
              <w:t xml:space="preserve">ispitanika </w:t>
            </w:r>
            <w:r>
              <w:rPr>
                <w:rFonts w:ascii="Trebuchet MS" w:eastAsia="Trebuchet MS" w:hAnsi="Trebuchet MS" w:cs="Trebuchet MS"/>
                <w:b/>
                <w:i/>
              </w:rPr>
              <w:t>navelo je da zna kako je prijavljivanje sumnjivih aktivnosti banci prvi korak zaštite. Ova statistika pokazuje nam uspješnost ulaganja u jedan od naših dugoročnih prioriteta, a to je da svaki naš korisnik prepoznaje zlouporabu i načine zaštite svojih financijskih podataka</w:t>
            </w:r>
            <w:r>
              <w:rPr>
                <w:rFonts w:ascii="Trebuchet MS" w:eastAsia="Trebuchet MS" w:hAnsi="Trebuchet MS" w:cs="Trebuchet MS"/>
                <w:b/>
              </w:rPr>
              <w:t>“, ističe</w:t>
            </w:r>
            <w:r w:rsidR="00AC59C6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="00994F9D">
              <w:rPr>
                <w:rFonts w:ascii="Trebuchet MS" w:eastAsia="Trebuchet MS" w:hAnsi="Trebuchet MS" w:cs="Trebuchet MS"/>
                <w:b/>
              </w:rPr>
              <w:t>Ivan Cvitan</w:t>
            </w:r>
            <w:r w:rsidR="00AC59C6">
              <w:rPr>
                <w:rFonts w:ascii="Trebuchet MS" w:eastAsia="Trebuchet MS" w:hAnsi="Trebuchet MS" w:cs="Trebuchet MS"/>
                <w:b/>
              </w:rPr>
              <w:t xml:space="preserve">, </w:t>
            </w:r>
            <w:r w:rsidR="00994F9D">
              <w:rPr>
                <w:rFonts w:ascii="Trebuchet MS" w:eastAsia="Trebuchet MS" w:hAnsi="Trebuchet MS" w:cs="Trebuchet MS"/>
                <w:b/>
              </w:rPr>
              <w:t xml:space="preserve">direktor Kontrole rizika, odgovoran i za odjel </w:t>
            </w:r>
            <w:r w:rsidR="00683DEF" w:rsidRPr="00683DEF">
              <w:rPr>
                <w:rFonts w:ascii="Trebuchet MS" w:eastAsia="Trebuchet MS" w:hAnsi="Trebuchet MS" w:cs="Trebuchet MS"/>
                <w:b/>
              </w:rPr>
              <w:t xml:space="preserve">Operativni rizici i upravljanje prijevarama </w:t>
            </w:r>
            <w:r w:rsidR="00AC59C6">
              <w:rPr>
                <w:rFonts w:ascii="Trebuchet MS" w:eastAsia="Trebuchet MS" w:hAnsi="Trebuchet MS" w:cs="Trebuchet MS"/>
                <w:b/>
              </w:rPr>
              <w:t xml:space="preserve">u </w:t>
            </w:r>
            <w:r>
              <w:rPr>
                <w:rFonts w:ascii="Trebuchet MS" w:eastAsia="Trebuchet MS" w:hAnsi="Trebuchet MS" w:cs="Trebuchet MS"/>
                <w:b/>
              </w:rPr>
              <w:t xml:space="preserve">Addiko banci.  </w:t>
            </w:r>
          </w:p>
          <w:p w14:paraId="542927D2" w14:textId="18469BE9" w:rsidR="007626D0" w:rsidRDefault="00851CFD">
            <w:pPr>
              <w:spacing w:before="240" w:after="240" w:line="276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Anketa provedena među 902 ispitanika uključuje 621 klijenta Addiko banke. Rezultati su pokazali da je čak 53 % ispitanika barem jednom kontaktirao nepoznati subjekt s ciljem dobivanja osjetljivih podataka poput PIN-a ili CVV broja kartice, a g</w:t>
            </w:r>
            <w:r w:rsidR="00F778CA">
              <w:rPr>
                <w:rFonts w:ascii="Trebuchet MS" w:eastAsia="Trebuchet MS" w:hAnsi="Trebuchet MS" w:cs="Trebuchet MS"/>
              </w:rPr>
              <w:t>otovo trećina ispitanika je bila žrtva neke prijevare ili poznaje osobu koja je bila žrtva neke prijevare.</w:t>
            </w:r>
          </w:p>
          <w:p w14:paraId="7FAFB62D" w14:textId="61D15543" w:rsidR="00851CFD" w:rsidRDefault="00994F9D" w:rsidP="00851CFD">
            <w:pPr>
              <w:spacing w:before="240" w:after="240" w:line="276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Oko</w:t>
            </w:r>
            <w:r w:rsidR="00851CFD">
              <w:rPr>
                <w:rFonts w:ascii="Trebuchet MS" w:eastAsia="Trebuchet MS" w:hAnsi="Trebuchet MS" w:cs="Trebuchet MS"/>
              </w:rPr>
              <w:t xml:space="preserve"> 40 % ispitanih korisnika smatra se vrlo informiranima o vrstama financijskih prijevara, dok je 52 % upoznato samo s nekim oblicima. </w:t>
            </w:r>
          </w:p>
          <w:p w14:paraId="49E981EC" w14:textId="265C4C00" w:rsidR="007626D0" w:rsidRDefault="00F778CA">
            <w:pPr>
              <w:spacing w:before="240" w:after="240" w:line="259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Č</w:t>
            </w:r>
            <w:r w:rsidR="00851CFD">
              <w:rPr>
                <w:rFonts w:ascii="Trebuchet MS" w:eastAsia="Trebuchet MS" w:hAnsi="Trebuchet MS" w:cs="Trebuchet MS"/>
              </w:rPr>
              <w:t>ak 59 % sudionika navodi kako uvijek provjerava detalje email adrese s koje su primili sumnjiv upit, dok tri četvrtine njih redovito prati svoje bankovne izvode – što je ključna praksa za prepoznavanje sumnjivih transakcija.</w:t>
            </w:r>
          </w:p>
          <w:p w14:paraId="51C2A1C9" w14:textId="0ED4BF41" w:rsidR="007626D0" w:rsidRDefault="00851CFD">
            <w:pPr>
              <w:spacing w:line="276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Iako se o njima ne govori dovoljno često u društvu, financijske prijevare u digitalnom okruženju postaju sve raširenije i sve ih je teže otkriti, a pojavljuju se u raznim oblicima, poput </w:t>
            </w:r>
            <w:proofErr w:type="spellStart"/>
            <w:r>
              <w:rPr>
                <w:rFonts w:ascii="Trebuchet MS" w:eastAsia="Trebuchet MS" w:hAnsi="Trebuchet MS" w:cs="Trebuchet MS"/>
                <w:i/>
              </w:rPr>
              <w:t>phishinga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i/>
              </w:rPr>
              <w:t>skimminga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i </w:t>
            </w:r>
            <w:proofErr w:type="spellStart"/>
            <w:r>
              <w:rPr>
                <w:rFonts w:ascii="Trebuchet MS" w:eastAsia="Trebuchet MS" w:hAnsi="Trebuchet MS" w:cs="Trebuchet MS"/>
                <w:i/>
              </w:rPr>
              <w:t>spoofinga</w:t>
            </w:r>
            <w:proofErr w:type="spellEnd"/>
            <w:r>
              <w:rPr>
                <w:rFonts w:ascii="Trebuchet MS" w:eastAsia="Trebuchet MS" w:hAnsi="Trebuchet MS" w:cs="Trebuchet MS"/>
              </w:rPr>
              <w:t>. Kako bi zaštitila građane u ovom izazovnom okruženju, Addiko banka kontinuirano ulaže u edukaciju i informiranje, čime aktivno doprinosi jačanju financijske i digitalne pismenosti građana Republike Hrvatske.</w:t>
            </w:r>
          </w:p>
          <w:p w14:paraId="7481E0B7" w14:textId="16F4B4E4" w:rsidR="00517AA5" w:rsidRDefault="00517AA5" w:rsidP="0080112F">
            <w:pPr>
              <w:spacing w:before="240" w:after="240" w:line="276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„Najvažnij</w:t>
            </w:r>
            <w:r w:rsidR="008427FB">
              <w:rPr>
                <w:rFonts w:ascii="Trebuchet MS" w:eastAsia="Trebuchet MS" w:hAnsi="Trebuchet MS" w:cs="Trebuchet MS"/>
              </w:rPr>
              <w:t>a</w:t>
            </w:r>
            <w:r>
              <w:rPr>
                <w:rFonts w:ascii="Trebuchet MS" w:eastAsia="Trebuchet MS" w:hAnsi="Trebuchet MS" w:cs="Trebuchet MS"/>
              </w:rPr>
              <w:t xml:space="preserve"> poruk</w:t>
            </w:r>
            <w:r w:rsidR="008427FB">
              <w:rPr>
                <w:rFonts w:ascii="Trebuchet MS" w:eastAsia="Trebuchet MS" w:hAnsi="Trebuchet MS" w:cs="Trebuchet MS"/>
              </w:rPr>
              <w:t xml:space="preserve">a korisnicima bankarskih usluga je </w:t>
            </w:r>
            <w:r>
              <w:rPr>
                <w:rFonts w:ascii="Trebuchet MS" w:eastAsia="Trebuchet MS" w:hAnsi="Trebuchet MS" w:cs="Trebuchet MS"/>
              </w:rPr>
              <w:t xml:space="preserve"> da </w:t>
            </w:r>
            <w:r w:rsidR="008427FB">
              <w:rPr>
                <w:rFonts w:ascii="Trebuchet MS" w:eastAsia="Trebuchet MS" w:hAnsi="Trebuchet MS" w:cs="Trebuchet MS"/>
              </w:rPr>
              <w:t>su</w:t>
            </w:r>
            <w:r w:rsidR="008427FB"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l</w:t>
            </w:r>
            <w:r w:rsidR="0080112F" w:rsidRPr="0080112F">
              <w:rPr>
                <w:rFonts w:ascii="Trebuchet MS" w:eastAsia="Trebuchet MS" w:hAnsi="Trebuchet MS" w:cs="Trebuchet MS"/>
              </w:rPr>
              <w:t xml:space="preserve">ozinka i PIN isključivo </w:t>
            </w:r>
            <w:r>
              <w:rPr>
                <w:rFonts w:ascii="Trebuchet MS" w:eastAsia="Trebuchet MS" w:hAnsi="Trebuchet MS" w:cs="Trebuchet MS"/>
              </w:rPr>
              <w:t xml:space="preserve">njihovo </w:t>
            </w:r>
            <w:r w:rsidR="0080112F" w:rsidRPr="0080112F">
              <w:rPr>
                <w:rFonts w:ascii="Trebuchet MS" w:eastAsia="Trebuchet MS" w:hAnsi="Trebuchet MS" w:cs="Trebuchet MS"/>
              </w:rPr>
              <w:t xml:space="preserve">vlasništvo i </w:t>
            </w:r>
            <w:r>
              <w:rPr>
                <w:rFonts w:ascii="Trebuchet MS" w:eastAsia="Trebuchet MS" w:hAnsi="Trebuchet MS" w:cs="Trebuchet MS"/>
              </w:rPr>
              <w:t xml:space="preserve">da ih nijedna </w:t>
            </w:r>
            <w:r w:rsidR="0080112F" w:rsidRPr="0080112F">
              <w:rPr>
                <w:rFonts w:ascii="Trebuchet MS" w:eastAsia="Trebuchet MS" w:hAnsi="Trebuchet MS" w:cs="Trebuchet MS"/>
              </w:rPr>
              <w:t xml:space="preserve">banka nikada neće tražiti </w:t>
            </w:r>
            <w:r w:rsidR="0080112F" w:rsidRPr="0080112F">
              <w:rPr>
                <w:rFonts w:ascii="Trebuchet MS" w:eastAsia="Trebuchet MS" w:hAnsi="Trebuchet MS" w:cs="Trebuchet MS"/>
              </w:rPr>
              <w:lastRenderedPageBreak/>
              <w:t xml:space="preserve">da te podatke </w:t>
            </w:r>
            <w:r>
              <w:rPr>
                <w:rFonts w:ascii="Trebuchet MS" w:eastAsia="Trebuchet MS" w:hAnsi="Trebuchet MS" w:cs="Trebuchet MS"/>
              </w:rPr>
              <w:t>pošalju</w:t>
            </w:r>
            <w:r w:rsidR="0080112F" w:rsidRPr="0080112F">
              <w:rPr>
                <w:rFonts w:ascii="Trebuchet MS" w:eastAsia="Trebuchet MS" w:hAnsi="Trebuchet MS" w:cs="Trebuchet MS"/>
              </w:rPr>
              <w:t xml:space="preserve"> putem e-maila, telefonski ili </w:t>
            </w:r>
            <w:r w:rsidR="00851CFD">
              <w:rPr>
                <w:rFonts w:ascii="Trebuchet MS" w:eastAsia="Trebuchet MS" w:hAnsi="Trebuchet MS" w:cs="Trebuchet MS"/>
              </w:rPr>
              <w:t xml:space="preserve">da ih </w:t>
            </w:r>
            <w:r w:rsidR="0080112F" w:rsidRPr="0080112F">
              <w:rPr>
                <w:rFonts w:ascii="Trebuchet MS" w:eastAsia="Trebuchet MS" w:hAnsi="Trebuchet MS" w:cs="Trebuchet MS"/>
              </w:rPr>
              <w:t>ažurira</w:t>
            </w:r>
            <w:r>
              <w:rPr>
                <w:rFonts w:ascii="Trebuchet MS" w:eastAsia="Trebuchet MS" w:hAnsi="Trebuchet MS" w:cs="Trebuchet MS"/>
              </w:rPr>
              <w:t xml:space="preserve">ju </w:t>
            </w:r>
            <w:r w:rsidR="0080112F" w:rsidRPr="0080112F">
              <w:rPr>
                <w:rFonts w:ascii="Trebuchet MS" w:eastAsia="Trebuchet MS" w:hAnsi="Trebuchet MS" w:cs="Trebuchet MS"/>
              </w:rPr>
              <w:t>preko posrednika.</w:t>
            </w:r>
            <w:r>
              <w:rPr>
                <w:rFonts w:ascii="Trebuchet MS" w:eastAsia="Trebuchet MS" w:hAnsi="Trebuchet MS" w:cs="Trebuchet MS"/>
              </w:rPr>
              <w:t xml:space="preserve"> Zatim</w:t>
            </w:r>
            <w:r w:rsidR="00994F9D">
              <w:rPr>
                <w:rFonts w:ascii="Trebuchet MS" w:eastAsia="Trebuchet MS" w:hAnsi="Trebuchet MS" w:cs="Trebuchet MS"/>
              </w:rPr>
              <w:t xml:space="preserve">, </w:t>
            </w:r>
            <w:r>
              <w:rPr>
                <w:rFonts w:ascii="Trebuchet MS" w:eastAsia="Trebuchet MS" w:hAnsi="Trebuchet MS" w:cs="Trebuchet MS"/>
              </w:rPr>
              <w:t xml:space="preserve">da je </w:t>
            </w:r>
            <w:r w:rsidR="0080112F" w:rsidRPr="0080112F">
              <w:rPr>
                <w:rFonts w:ascii="Trebuchet MS" w:eastAsia="Trebuchet MS" w:hAnsi="Trebuchet MS" w:cs="Trebuchet MS"/>
              </w:rPr>
              <w:t>internet</w:t>
            </w:r>
            <w:r w:rsidR="00994F9D">
              <w:rPr>
                <w:rFonts w:ascii="Trebuchet MS" w:eastAsia="Trebuchet MS" w:hAnsi="Trebuchet MS" w:cs="Trebuchet MS"/>
              </w:rPr>
              <w:t>skom</w:t>
            </w:r>
            <w:r w:rsidR="0080112F" w:rsidRPr="0080112F">
              <w:rPr>
                <w:rFonts w:ascii="Trebuchet MS" w:eastAsia="Trebuchet MS" w:hAnsi="Trebuchet MS" w:cs="Trebuchet MS"/>
              </w:rPr>
              <w:t xml:space="preserve"> bankarstvu potrebno pristupati isključivo putem službene stranice</w:t>
            </w:r>
            <w:r>
              <w:rPr>
                <w:rFonts w:ascii="Trebuchet MS" w:eastAsia="Trebuchet MS" w:hAnsi="Trebuchet MS" w:cs="Trebuchet MS"/>
              </w:rPr>
              <w:t xml:space="preserve"> banaka </w:t>
            </w:r>
            <w:r w:rsidR="0080112F" w:rsidRPr="0080112F">
              <w:rPr>
                <w:rFonts w:ascii="Trebuchet MS" w:eastAsia="Trebuchet MS" w:hAnsi="Trebuchet MS" w:cs="Trebuchet MS"/>
              </w:rPr>
              <w:t xml:space="preserve">te </w:t>
            </w:r>
            <w:r w:rsidR="00F778CA">
              <w:rPr>
                <w:rFonts w:ascii="Trebuchet MS" w:eastAsia="Trebuchet MS" w:hAnsi="Trebuchet MS" w:cs="Trebuchet MS"/>
              </w:rPr>
              <w:t xml:space="preserve">da </w:t>
            </w:r>
            <w:r w:rsidR="0080112F" w:rsidRPr="0080112F">
              <w:rPr>
                <w:rFonts w:ascii="Trebuchet MS" w:eastAsia="Trebuchet MS" w:hAnsi="Trebuchet MS" w:cs="Trebuchet MS"/>
              </w:rPr>
              <w:t>ne otvara</w:t>
            </w:r>
            <w:r w:rsidR="00F778CA">
              <w:rPr>
                <w:rFonts w:ascii="Trebuchet MS" w:eastAsia="Trebuchet MS" w:hAnsi="Trebuchet MS" w:cs="Trebuchet MS"/>
              </w:rPr>
              <w:t xml:space="preserve">ju pozivnice </w:t>
            </w:r>
            <w:r w:rsidR="0080112F" w:rsidRPr="0080112F">
              <w:rPr>
                <w:rFonts w:ascii="Trebuchet MS" w:eastAsia="Trebuchet MS" w:hAnsi="Trebuchet MS" w:cs="Trebuchet MS"/>
              </w:rPr>
              <w:t>koji dolaze od neprovjerenih izvora.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 w:rsidR="00F778CA">
              <w:rPr>
                <w:rFonts w:ascii="Trebuchet MS" w:eastAsia="Trebuchet MS" w:hAnsi="Trebuchet MS" w:cs="Trebuchet MS"/>
              </w:rPr>
              <w:t>Pozivam sve građane da korisne informacije i praktične savjete o zaštiti pronađu na našoj web stranici</w:t>
            </w:r>
            <w:hyperlink r:id="rId12">
              <w:r w:rsidR="00F778CA">
                <w:rPr>
                  <w:rFonts w:ascii="Trebuchet MS" w:eastAsia="Trebuchet MS" w:hAnsi="Trebuchet MS" w:cs="Trebuchet MS"/>
                </w:rPr>
                <w:t xml:space="preserve"> </w:t>
              </w:r>
            </w:hyperlink>
            <w:hyperlink r:id="rId13">
              <w:r w:rsidR="00F778CA" w:rsidRPr="00994F9D">
                <w:rPr>
                  <w:rFonts w:ascii="Trebuchet MS" w:eastAsia="Trebuchet MS" w:hAnsi="Trebuchet MS" w:cs="Trebuchet MS"/>
                  <w:color w:val="FF4D5A"/>
                  <w:u w:val="single"/>
                </w:rPr>
                <w:t>Informacijska sigurnost – Addiko Bank Hrvatska</w:t>
              </w:r>
            </w:hyperlink>
            <w:r>
              <w:rPr>
                <w:rFonts w:ascii="Trebuchet MS" w:eastAsia="Trebuchet MS" w:hAnsi="Trebuchet MS" w:cs="Trebuchet MS"/>
              </w:rPr>
              <w:t xml:space="preserve">“, savjetuje </w:t>
            </w:r>
            <w:r w:rsidR="00994F9D">
              <w:rPr>
                <w:rFonts w:ascii="Trebuchet MS" w:eastAsia="Trebuchet MS" w:hAnsi="Trebuchet MS" w:cs="Trebuchet MS"/>
              </w:rPr>
              <w:t>Cvitan</w:t>
            </w:r>
            <w:r>
              <w:rPr>
                <w:rFonts w:ascii="Trebuchet MS" w:eastAsia="Trebuchet MS" w:hAnsi="Trebuchet MS" w:cs="Trebuchet MS"/>
              </w:rPr>
              <w:t xml:space="preserve">. </w:t>
            </w:r>
          </w:p>
          <w:p w14:paraId="32C58239" w14:textId="2A99A2C2" w:rsidR="007626D0" w:rsidRDefault="00851CFD" w:rsidP="0080112F">
            <w:pPr>
              <w:spacing w:before="240" w:after="240" w:line="276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Provedeno istraživanje, zajedno s drugim obrazovnim aktivnostima, dio je sveobuhvatne inicijative usmjerene na unaprjeđenje financijske pismenosti i sigurnosti u digitalnom okruženju, čime se aktivno odgovara na rastuće izazove u </w:t>
            </w:r>
            <w:r>
              <w:rPr>
                <w:rFonts w:ascii="Trebuchet MS" w:eastAsia="Trebuchet MS" w:hAnsi="Trebuchet MS" w:cs="Trebuchet MS"/>
                <w:i/>
              </w:rPr>
              <w:t>online</w:t>
            </w:r>
            <w:r>
              <w:rPr>
                <w:rFonts w:ascii="Trebuchet MS" w:eastAsia="Trebuchet MS" w:hAnsi="Trebuchet MS" w:cs="Trebuchet MS"/>
              </w:rPr>
              <w:t xml:space="preserve"> svijetu.</w:t>
            </w:r>
          </w:p>
          <w:p w14:paraId="5E219541" w14:textId="77777777" w:rsidR="007626D0" w:rsidRDefault="007626D0">
            <w:pPr>
              <w:spacing w:before="240" w:after="240" w:line="276" w:lineRule="auto"/>
              <w:jc w:val="both"/>
              <w:rPr>
                <w:rFonts w:ascii="Trebuchet MS" w:eastAsia="Trebuchet MS" w:hAnsi="Trebuchet MS" w:cs="Trebuchet MS"/>
              </w:rPr>
            </w:pPr>
          </w:p>
          <w:p w14:paraId="4967C291" w14:textId="77777777" w:rsidR="007626D0" w:rsidRDefault="007626D0">
            <w:pPr>
              <w:spacing w:line="276" w:lineRule="auto"/>
              <w:jc w:val="both"/>
              <w:rPr>
                <w:rFonts w:ascii="Trebuchet MS" w:eastAsia="Trebuchet MS" w:hAnsi="Trebuchet MS" w:cs="Trebuchet MS"/>
              </w:rPr>
            </w:pPr>
          </w:p>
          <w:p w14:paraId="2CA01A5B" w14:textId="77777777" w:rsidR="007626D0" w:rsidRDefault="007626D0">
            <w:pPr>
              <w:spacing w:line="276" w:lineRule="auto"/>
              <w:jc w:val="both"/>
              <w:rPr>
                <w:rFonts w:ascii="Trebuchet MS" w:eastAsia="Trebuchet MS" w:hAnsi="Trebuchet MS" w:cs="Trebuchet MS"/>
              </w:rPr>
            </w:pPr>
          </w:p>
        </w:tc>
      </w:tr>
    </w:tbl>
    <w:p w14:paraId="0228C13E" w14:textId="77777777" w:rsidR="007626D0" w:rsidRDefault="007626D0">
      <w:pPr>
        <w:jc w:val="both"/>
        <w:rPr>
          <w:rFonts w:ascii="Trebuchet MS" w:eastAsia="Trebuchet MS" w:hAnsi="Trebuchet MS" w:cs="Trebuchet MS"/>
        </w:rPr>
      </w:pPr>
    </w:p>
    <w:sectPr w:rsidR="007626D0">
      <w:headerReference w:type="default" r:id="rId14"/>
      <w:footerReference w:type="even" r:id="rId15"/>
      <w:footerReference w:type="first" r:id="rId16"/>
      <w:pgSz w:w="11906" w:h="16838"/>
      <w:pgMar w:top="3629" w:right="851" w:bottom="1440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D239A" w14:textId="77777777" w:rsidR="00D0456E" w:rsidRDefault="00D0456E">
      <w:pPr>
        <w:spacing w:after="0" w:line="240" w:lineRule="auto"/>
      </w:pPr>
      <w:r>
        <w:separator/>
      </w:r>
    </w:p>
  </w:endnote>
  <w:endnote w:type="continuationSeparator" w:id="0">
    <w:p w14:paraId="39B47941" w14:textId="77777777" w:rsidR="00D0456E" w:rsidRDefault="00D0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harlie Pro Med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lie Pro Bld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C4BB5" w14:textId="77777777" w:rsidR="007626D0" w:rsidRDefault="00851C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14E21EDD" wp14:editId="41C6CC85">
              <wp:simplePos x="0" y="0"/>
              <wp:positionH relativeFrom="column">
                <wp:posOffset>2438400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None/>
              <wp:docPr id="1675934909" name="Rectangle 1675934909" descr="Klasa povjerljivosti / Confidentiality class: INTERNO /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CF4C10" w14:textId="77777777" w:rsidR="007626D0" w:rsidRDefault="00851CFD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E21EDD" id="Rectangle 1675934909" o:spid="_x0000_s1026" alt="Klasa povjerljivosti / Confidentiality class: INTERNO / INTERNAL" style="position:absolute;margin-left:192pt;margin-top:0;width:37.2pt;height:37.2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" filled="f" stroked="f">
              <v:textbox inset="0,0,0,15pt">
                <w:txbxContent>
                  <w:p w14:paraId="67CF4C10" w14:textId="77777777" w:rsidR="007626D0" w:rsidRDefault="00851CFD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>Klasa povjerljivosti / Confidentiality class: INTERNO / INTERNAL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5453" w14:textId="77777777" w:rsidR="007626D0" w:rsidRDefault="00851C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02A0D8B2" wp14:editId="6FA5D7FD">
              <wp:simplePos x="0" y="0"/>
              <wp:positionH relativeFrom="column">
                <wp:posOffset>2438400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None/>
              <wp:docPr id="1675934910" name="Rectangle 1675934910" descr="Klasa povjerljivosti / Confidentiality class: INTERNO /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BEF03" w14:textId="77777777" w:rsidR="007626D0" w:rsidRDefault="00851CFD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0D8B2" id="Rectangle 1675934910" o:spid="_x0000_s1027" alt="Klasa povjerljivosti / Confidentiality class: INTERNO / INTERNAL" style="position:absolute;margin-left:192pt;margin-top:0;width:37.2pt;height:37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" filled="f" stroked="f">
              <v:textbox inset="0,0,0,15pt">
                <w:txbxContent>
                  <w:p w14:paraId="485BEF03" w14:textId="77777777" w:rsidR="007626D0" w:rsidRDefault="00851CFD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>Klasa povjerljivosti / Confidentiality class: INTERNO / INTERNAL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1E174" w14:textId="77777777" w:rsidR="00D0456E" w:rsidRDefault="00D0456E">
      <w:pPr>
        <w:spacing w:after="0" w:line="240" w:lineRule="auto"/>
      </w:pPr>
      <w:r>
        <w:separator/>
      </w:r>
    </w:p>
  </w:footnote>
  <w:footnote w:type="continuationSeparator" w:id="0">
    <w:p w14:paraId="71CE8F21" w14:textId="77777777" w:rsidR="00D0456E" w:rsidRDefault="00D04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0CCB6" w14:textId="77777777" w:rsidR="007626D0" w:rsidRDefault="00851C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F9507A2" wp14:editId="0352A720">
          <wp:simplePos x="0" y="0"/>
          <wp:positionH relativeFrom="page">
            <wp:align>right</wp:align>
          </wp:positionH>
          <wp:positionV relativeFrom="page">
            <wp:posOffset>-723897</wp:posOffset>
          </wp:positionV>
          <wp:extent cx="7555189" cy="2872800"/>
          <wp:effectExtent l="0" t="0" r="0" b="0"/>
          <wp:wrapNone/>
          <wp:docPr id="1675934911" name="image3.jpg" descr="A person typing on a comput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A person typing on a computer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189" cy="287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21738"/>
    <w:multiLevelType w:val="multilevel"/>
    <w:tmpl w:val="D660BAA6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219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6D0"/>
    <w:rsid w:val="0003655D"/>
    <w:rsid w:val="000B5C26"/>
    <w:rsid w:val="0019162C"/>
    <w:rsid w:val="003C36C5"/>
    <w:rsid w:val="003D7730"/>
    <w:rsid w:val="00402079"/>
    <w:rsid w:val="00473C11"/>
    <w:rsid w:val="0048255C"/>
    <w:rsid w:val="00517AA5"/>
    <w:rsid w:val="005222F5"/>
    <w:rsid w:val="005B7811"/>
    <w:rsid w:val="00683DEF"/>
    <w:rsid w:val="007626D0"/>
    <w:rsid w:val="0080112F"/>
    <w:rsid w:val="008427FB"/>
    <w:rsid w:val="00851CFD"/>
    <w:rsid w:val="00994F9D"/>
    <w:rsid w:val="00AC59C6"/>
    <w:rsid w:val="00D0456E"/>
    <w:rsid w:val="00D56970"/>
    <w:rsid w:val="00E7153A"/>
    <w:rsid w:val="00F7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29C6"/>
  <w15:docId w15:val="{7284D684-8EB6-4C13-B669-715E708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harlie Pro Med" w:eastAsia="Charlie Pro Med" w:hAnsi="Charlie Pro Med" w:cs="Charlie Pro Med"/>
        <w:color w:val="002339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C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39C3"/>
    <w:pPr>
      <w:spacing w:after="0" w:line="240" w:lineRule="auto"/>
      <w:contextualSpacing/>
    </w:pPr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2F"/>
  </w:style>
  <w:style w:type="paragraph" w:styleId="Footer">
    <w:name w:val="footer"/>
    <w:basedOn w:val="Normal"/>
    <w:link w:val="Foot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2F"/>
  </w:style>
  <w:style w:type="table" w:styleId="TableGrid">
    <w:name w:val="Table Grid"/>
    <w:basedOn w:val="TableNormal"/>
    <w:uiPriority w:val="39"/>
    <w:rsid w:val="0044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140C6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1939C3"/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paragraph" w:customStyle="1" w:styleId="Bullet">
    <w:name w:val="Bullet"/>
    <w:basedOn w:val="ListParagraph"/>
    <w:link w:val="BulletChar"/>
    <w:qFormat/>
    <w:rsid w:val="008D2C7E"/>
    <w:pPr>
      <w:numPr>
        <w:numId w:val="1"/>
      </w:numPr>
      <w:spacing w:after="0" w:line="260" w:lineRule="exact"/>
      <w:ind w:left="227" w:hanging="227"/>
    </w:pPr>
    <w:rPr>
      <w:rFonts w:ascii="Charlie Pro Bld" w:hAnsi="Charlie Pro Bld"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2C7E"/>
    <w:rPr>
      <w:rFonts w:ascii="Charlie Pro Med" w:hAnsi="Charlie Pro Med"/>
      <w:color w:val="002339"/>
      <w:sz w:val="20"/>
    </w:rPr>
  </w:style>
  <w:style w:type="character" w:customStyle="1" w:styleId="BulletChar">
    <w:name w:val="Bullet Char"/>
    <w:basedOn w:val="ListParagraphChar"/>
    <w:link w:val="Bullet"/>
    <w:rsid w:val="008D2C7E"/>
    <w:rPr>
      <w:rFonts w:ascii="Charlie Pro Bld" w:hAnsi="Charlie Pro Bld" w:cstheme="minorHAnsi"/>
      <w:color w:val="00233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468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68F"/>
    <w:pPr>
      <w:spacing w:line="240" w:lineRule="auto"/>
    </w:pPr>
    <w:rPr>
      <w:rFonts w:ascii="Calibri" w:eastAsia="Calibri" w:hAnsi="Calibri" w:cs="Times New Roman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68F"/>
    <w:rPr>
      <w:rFonts w:ascii="Calibri" w:eastAsia="Calibri" w:hAnsi="Calibri" w:cs="Times New Roman"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4535A4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715"/>
    <w:rPr>
      <w:rFonts w:ascii="Charlie Pro Med" w:eastAsiaTheme="minorHAnsi" w:hAnsi="Charlie Pro Med" w:cstheme="minorBidi"/>
      <w:b/>
      <w:bCs/>
      <w:color w:val="002339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715"/>
    <w:rPr>
      <w:rFonts w:ascii="Charlie Pro Med" w:eastAsia="Calibri" w:hAnsi="Charlie Pro Med" w:cs="Times New Roman"/>
      <w:b/>
      <w:bCs/>
      <w:color w:val="002339"/>
      <w:sz w:val="20"/>
      <w:szCs w:val="20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066B4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3C3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ddiko.hr/sigurnost-na-internet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ddiko.hr/sigurnost-na-internet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arina.kantolic@addik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TCRif3y0EnxyFvl7lc53MJxfhg==">CgMxLjA4AHIhMXNwS1F1RnYwUTRwNHBjVzV2OUZWZnEzTE9ra2p6a3lr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2927</Characters>
  <Application>Microsoft Office Word</Application>
  <DocSecurity>0</DocSecurity>
  <Lines>92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katarik3</Manager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Gračan</dc:creator>
  <dc:description>Classification blank by: katarik3</dc:description>
  <cp:lastModifiedBy>Katarina Kantolić (Addiko Croatia)</cp:lastModifiedBy>
  <cp:revision>2</cp:revision>
  <dcterms:created xsi:type="dcterms:W3CDTF">2024-11-05T08:00:00Z</dcterms:created>
  <dcterms:modified xsi:type="dcterms:W3CDTF">2024-11-05T08:00:00Z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ad47a77,63e4bcb0,69737b0c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Klasa povjerljivosti / Confidentiality class: INTERNO / INTERNAL</vt:lpwstr>
  </property>
  <property fmtid="{D5CDD505-2E9C-101B-9397-08002B2CF9AE}" pid="5" name="MSIP_Label_68bb13b3-d2c1-4719-a5eb-d2f829e5e9fa_Enabled">
    <vt:lpwstr>true</vt:lpwstr>
  </property>
  <property fmtid="{D5CDD505-2E9C-101B-9397-08002B2CF9AE}" pid="6" name="MSIP_Label_68bb13b3-d2c1-4719-a5eb-d2f829e5e9fa_SetDate">
    <vt:lpwstr>2023-09-11T15:34:28Z</vt:lpwstr>
  </property>
  <property fmtid="{D5CDD505-2E9C-101B-9397-08002B2CF9AE}" pid="7" name="MSIP_Label_68bb13b3-d2c1-4719-a5eb-d2f829e5e9fa_Method">
    <vt:lpwstr>Standard</vt:lpwstr>
  </property>
  <property fmtid="{D5CDD505-2E9C-101B-9397-08002B2CF9AE}" pid="8" name="MSIP_Label_68bb13b3-d2c1-4719-a5eb-d2f829e5e9fa_Name">
    <vt:lpwstr>Interno - Internal (ABC)</vt:lpwstr>
  </property>
  <property fmtid="{D5CDD505-2E9C-101B-9397-08002B2CF9AE}" pid="9" name="MSIP_Label_68bb13b3-d2c1-4719-a5eb-d2f829e5e9fa_SiteId">
    <vt:lpwstr>ea54e955-ce3f-4547-9304-1cd2b88557ab</vt:lpwstr>
  </property>
  <property fmtid="{D5CDD505-2E9C-101B-9397-08002B2CF9AE}" pid="10" name="MSIP_Label_68bb13b3-d2c1-4719-a5eb-d2f829e5e9fa_ActionId">
    <vt:lpwstr>952fa3f0-e1d6-4066-b034-33d115a3ad24</vt:lpwstr>
  </property>
  <property fmtid="{D5CDD505-2E9C-101B-9397-08002B2CF9AE}" pid="11" name="MSIP_Label_68bb13b3-d2c1-4719-a5eb-d2f829e5e9fa_ContentBits">
    <vt:lpwstr>2</vt:lpwstr>
  </property>
</Properties>
</file>